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3373E" w14:textId="25FA15B6" w:rsidR="00522C26" w:rsidRPr="00613365" w:rsidRDefault="00C967A2" w:rsidP="00FD5328">
      <w:pPr>
        <w:jc w:val="center"/>
        <w:rPr>
          <w:rFonts w:ascii="Cambria" w:hAnsi="Cambria" w:cstheme="majorBidi"/>
          <w:b/>
          <w:bCs/>
          <w:sz w:val="28"/>
          <w:szCs w:val="28"/>
          <w:lang w:val="en-ID"/>
        </w:rPr>
      </w:pPr>
      <w:r w:rsidRPr="00893B05">
        <w:rPr>
          <w:rFonts w:ascii="Cambria" w:hAnsi="Cambria" w:cstheme="majorBidi"/>
          <w:b/>
          <w:bCs/>
          <w:sz w:val="28"/>
          <w:szCs w:val="28"/>
        </w:rPr>
        <w:t xml:space="preserve">Roh Kudus Bekerja: </w:t>
      </w:r>
      <w:r w:rsidR="008012E2" w:rsidRPr="00893B05">
        <w:rPr>
          <w:rFonts w:ascii="Cambria" w:hAnsi="Cambria" w:cstheme="majorBidi"/>
          <w:b/>
          <w:bCs/>
          <w:sz w:val="28"/>
          <w:szCs w:val="28"/>
        </w:rPr>
        <w:t>Konsep Trinitarian Pneumatologis sebag</w:t>
      </w:r>
      <w:bookmarkStart w:id="0" w:name="_GoBack"/>
      <w:bookmarkEnd w:id="0"/>
      <w:r w:rsidR="008012E2" w:rsidRPr="00893B05">
        <w:rPr>
          <w:rFonts w:ascii="Cambria" w:hAnsi="Cambria" w:cstheme="majorBidi"/>
          <w:b/>
          <w:bCs/>
          <w:sz w:val="28"/>
          <w:szCs w:val="28"/>
        </w:rPr>
        <w:t xml:space="preserve">ai </w:t>
      </w:r>
      <w:r w:rsidR="00613365">
        <w:rPr>
          <w:rFonts w:ascii="Cambria" w:hAnsi="Cambria" w:cstheme="majorBidi"/>
          <w:b/>
          <w:bCs/>
          <w:sz w:val="28"/>
          <w:szCs w:val="28"/>
          <w:lang w:val="en-ID"/>
        </w:rPr>
        <w:t xml:space="preserve">Landasan </w:t>
      </w:r>
      <w:r w:rsidR="008012E2" w:rsidRPr="00893B05">
        <w:rPr>
          <w:rFonts w:ascii="Cambria" w:hAnsi="Cambria" w:cstheme="majorBidi"/>
          <w:b/>
          <w:bCs/>
          <w:sz w:val="28"/>
          <w:szCs w:val="28"/>
        </w:rPr>
        <w:t xml:space="preserve">Teologi Agama-Agama </w:t>
      </w:r>
      <w:r w:rsidR="00FD5328" w:rsidRPr="00893B05">
        <w:rPr>
          <w:rFonts w:ascii="Cambria" w:hAnsi="Cambria" w:cstheme="majorBidi"/>
          <w:b/>
          <w:bCs/>
          <w:sz w:val="28"/>
          <w:szCs w:val="28"/>
        </w:rPr>
        <w:t xml:space="preserve">bagi </w:t>
      </w:r>
      <w:r w:rsidR="008012E2" w:rsidRPr="00893B05">
        <w:rPr>
          <w:rFonts w:ascii="Cambria" w:hAnsi="Cambria" w:cstheme="majorBidi"/>
          <w:b/>
          <w:bCs/>
          <w:sz w:val="28"/>
          <w:szCs w:val="28"/>
        </w:rPr>
        <w:t xml:space="preserve">Gereja-Gereja </w:t>
      </w:r>
      <w:r w:rsidR="00613365">
        <w:rPr>
          <w:rFonts w:ascii="Cambria" w:hAnsi="Cambria" w:cstheme="majorBidi"/>
          <w:b/>
          <w:bCs/>
          <w:sz w:val="28"/>
          <w:szCs w:val="28"/>
          <w:lang w:val="en-ID"/>
        </w:rPr>
        <w:t>di Konteks Keberagaman</w:t>
      </w:r>
    </w:p>
    <w:p w14:paraId="21192B12" w14:textId="6FB2B2EF" w:rsidR="002B030C" w:rsidRPr="00893B05" w:rsidRDefault="002B030C" w:rsidP="00FD5328">
      <w:pPr>
        <w:spacing w:after="0" w:line="240" w:lineRule="auto"/>
        <w:jc w:val="center"/>
        <w:rPr>
          <w:rFonts w:asciiTheme="majorBidi" w:hAnsiTheme="majorBidi" w:cstheme="majorBidi"/>
          <w:i/>
          <w:iCs/>
          <w:sz w:val="24"/>
          <w:szCs w:val="24"/>
        </w:rPr>
      </w:pPr>
      <w:bookmarkStart w:id="1" w:name="_Hlk45750991"/>
      <w:r w:rsidRPr="00893B05">
        <w:rPr>
          <w:rFonts w:asciiTheme="majorBidi" w:hAnsiTheme="majorBidi" w:cstheme="majorBidi"/>
          <w:i/>
          <w:iCs/>
          <w:sz w:val="24"/>
          <w:szCs w:val="24"/>
        </w:rPr>
        <w:t>R. D. Butarbutar &amp; B. J. Pakpahan</w:t>
      </w:r>
    </w:p>
    <w:p w14:paraId="0BE46B56" w14:textId="1CB16D20" w:rsidR="002B030C" w:rsidRPr="00893B05" w:rsidRDefault="002B030C" w:rsidP="00FD5328">
      <w:pPr>
        <w:spacing w:after="0" w:line="240" w:lineRule="auto"/>
        <w:jc w:val="center"/>
        <w:rPr>
          <w:rFonts w:asciiTheme="majorBidi" w:hAnsiTheme="majorBidi" w:cstheme="majorBidi"/>
          <w:sz w:val="24"/>
          <w:szCs w:val="24"/>
        </w:rPr>
      </w:pPr>
      <w:r w:rsidRPr="00893B05">
        <w:rPr>
          <w:rFonts w:asciiTheme="majorBidi" w:hAnsiTheme="majorBidi" w:cstheme="majorBidi"/>
          <w:sz w:val="24"/>
          <w:szCs w:val="24"/>
        </w:rPr>
        <w:t>Sekolah Tinggi Filsafat Theologi Jakarta</w:t>
      </w:r>
    </w:p>
    <w:p w14:paraId="5DB434F2" w14:textId="07440D0E" w:rsidR="002B030C" w:rsidRPr="00893B05" w:rsidRDefault="0015650A" w:rsidP="00FD5328">
      <w:pPr>
        <w:spacing w:after="0" w:line="240" w:lineRule="auto"/>
        <w:jc w:val="center"/>
        <w:rPr>
          <w:rFonts w:asciiTheme="majorBidi" w:hAnsiTheme="majorBidi" w:cstheme="majorBidi"/>
          <w:i/>
          <w:iCs/>
          <w:sz w:val="24"/>
          <w:szCs w:val="24"/>
        </w:rPr>
      </w:pPr>
      <w:hyperlink r:id="rId8" w:history="1">
        <w:r w:rsidR="002B030C" w:rsidRPr="00893B05">
          <w:rPr>
            <w:rStyle w:val="Hyperlink"/>
            <w:rFonts w:asciiTheme="majorBidi" w:hAnsiTheme="majorBidi" w:cstheme="majorBidi"/>
            <w:i/>
            <w:iCs/>
            <w:sz w:val="24"/>
            <w:szCs w:val="24"/>
          </w:rPr>
          <w:t>rut.butarbutar@stftjakarta.ac.id</w:t>
        </w:r>
      </w:hyperlink>
      <w:r w:rsidR="002B030C" w:rsidRPr="00893B05">
        <w:rPr>
          <w:rFonts w:asciiTheme="majorBidi" w:hAnsiTheme="majorBidi" w:cstheme="majorBidi"/>
          <w:i/>
          <w:iCs/>
          <w:sz w:val="24"/>
          <w:szCs w:val="24"/>
        </w:rPr>
        <w:t xml:space="preserve"> &amp; </w:t>
      </w:r>
      <w:hyperlink r:id="rId9" w:history="1">
        <w:r w:rsidR="002B030C" w:rsidRPr="00893B05">
          <w:rPr>
            <w:rStyle w:val="Hyperlink"/>
            <w:rFonts w:asciiTheme="majorBidi" w:hAnsiTheme="majorBidi" w:cstheme="majorBidi"/>
            <w:i/>
            <w:iCs/>
            <w:sz w:val="24"/>
            <w:szCs w:val="24"/>
          </w:rPr>
          <w:t>b.pakpahan@stftjakarta.ac.id</w:t>
        </w:r>
      </w:hyperlink>
      <w:r w:rsidR="002B030C" w:rsidRPr="00893B05">
        <w:rPr>
          <w:rFonts w:asciiTheme="majorBidi" w:hAnsiTheme="majorBidi" w:cstheme="majorBidi"/>
          <w:i/>
          <w:iCs/>
          <w:sz w:val="24"/>
          <w:szCs w:val="24"/>
        </w:rPr>
        <w:t xml:space="preserve"> </w:t>
      </w:r>
    </w:p>
    <w:bookmarkEnd w:id="1"/>
    <w:p w14:paraId="16371616" w14:textId="7B184283" w:rsidR="002B030C" w:rsidRPr="00893B05" w:rsidRDefault="002B030C">
      <w:pPr>
        <w:pBdr>
          <w:bottom w:val="single" w:sz="6" w:space="1" w:color="auto"/>
        </w:pBdr>
        <w:rPr>
          <w:rFonts w:asciiTheme="majorBidi" w:hAnsiTheme="majorBidi" w:cstheme="majorBidi"/>
        </w:rPr>
      </w:pPr>
    </w:p>
    <w:p w14:paraId="6CBCA096" w14:textId="77777777" w:rsidR="00FD5328" w:rsidRPr="00893B05" w:rsidRDefault="00FD5328">
      <w:pPr>
        <w:pBdr>
          <w:bottom w:val="single" w:sz="6" w:space="1" w:color="auto"/>
        </w:pBdr>
        <w:rPr>
          <w:rFonts w:asciiTheme="majorBidi" w:hAnsiTheme="majorBidi" w:cstheme="majorBidi"/>
        </w:rPr>
      </w:pPr>
    </w:p>
    <w:p w14:paraId="142915BB" w14:textId="77777777" w:rsidR="00FD5328" w:rsidRPr="00893B05" w:rsidRDefault="00FD5328" w:rsidP="00FD5328">
      <w:pPr>
        <w:pStyle w:val="Kurios-Abstrak"/>
        <w:rPr>
          <w:b/>
          <w:bCs/>
          <w:i/>
          <w:iCs/>
        </w:rPr>
      </w:pPr>
      <w:r w:rsidRPr="00893B05">
        <w:rPr>
          <w:b/>
          <w:bCs/>
          <w:i/>
          <w:iCs/>
        </w:rPr>
        <w:t>Abstract</w:t>
      </w:r>
    </w:p>
    <w:p w14:paraId="07336AAC" w14:textId="12ABD939" w:rsidR="00FD5328" w:rsidRPr="008C3635" w:rsidRDefault="00613365" w:rsidP="008C3635">
      <w:pPr>
        <w:pStyle w:val="Kurios-Abstrak"/>
        <w:rPr>
          <w:i/>
          <w:iCs/>
          <w:lang w:val="en-US"/>
        </w:rPr>
      </w:pPr>
      <w:r w:rsidRPr="008C3635">
        <w:rPr>
          <w:i/>
          <w:iCs/>
          <w:lang w:val="en-US"/>
        </w:rPr>
        <w:t xml:space="preserve">The research explored the use of a pneumatological trinitarian theology as a basis of theology of </w:t>
      </w:r>
      <w:r w:rsidR="008C3635" w:rsidRPr="008C3635">
        <w:rPr>
          <w:i/>
          <w:iCs/>
          <w:lang w:val="en-US"/>
        </w:rPr>
        <w:t>religions</w:t>
      </w:r>
      <w:r w:rsidRPr="008C3635">
        <w:rPr>
          <w:i/>
          <w:iCs/>
          <w:lang w:val="en-US"/>
        </w:rPr>
        <w:t xml:space="preserve"> in the Indonesian context of diversity. We can develop a new basis of theology of religions that goes beyond exclusivism and pluralism by using the trinitarian approach towards God’s saving act in the Holy Spirit that moves beyond churches wall. The research used Veli-Mati Kärkkäinen’s pneumatological trinitarian theology. Kärkkäinen explained that God’s saving grace through the Holy Spirit, in the perichoretic movement, moved towards human’s boundaries, to call human to experience God’s saving act. At the end of the research, we would find that this specific theological approach is more suitable for Christians in understanding the Triune </w:t>
      </w:r>
      <w:r w:rsidR="008C3635" w:rsidRPr="008C3635">
        <w:rPr>
          <w:i/>
          <w:iCs/>
          <w:lang w:val="en-US"/>
        </w:rPr>
        <w:t>God but</w:t>
      </w:r>
      <w:r w:rsidRPr="008C3635">
        <w:rPr>
          <w:i/>
          <w:iCs/>
          <w:lang w:val="en-US"/>
        </w:rPr>
        <w:t xml:space="preserve"> would be problematic to be understood by the people outside of Christianity.</w:t>
      </w:r>
    </w:p>
    <w:p w14:paraId="2C94CDEC" w14:textId="77777777" w:rsidR="00AC64E6" w:rsidRPr="00893B05" w:rsidRDefault="00AC64E6" w:rsidP="00FD5328">
      <w:pPr>
        <w:pStyle w:val="Kurios-Abstrak"/>
      </w:pPr>
    </w:p>
    <w:p w14:paraId="5A9003C0" w14:textId="5B683764" w:rsidR="00FD5328" w:rsidRPr="008C3635" w:rsidRDefault="00FD5328" w:rsidP="00FD5328">
      <w:pPr>
        <w:pStyle w:val="Kurios-Abstrak"/>
        <w:rPr>
          <w:i/>
          <w:iCs/>
          <w:lang w:val="en-ID"/>
        </w:rPr>
      </w:pPr>
      <w:r w:rsidRPr="00893B05">
        <w:rPr>
          <w:b/>
          <w:bCs/>
          <w:i/>
          <w:iCs/>
        </w:rPr>
        <w:t>Keywords:</w:t>
      </w:r>
      <w:r w:rsidR="008C3635">
        <w:rPr>
          <w:b/>
          <w:bCs/>
          <w:i/>
          <w:iCs/>
          <w:lang w:val="en-ID"/>
        </w:rPr>
        <w:t xml:space="preserve"> </w:t>
      </w:r>
      <w:r w:rsidR="008C3635" w:rsidRPr="008C3635">
        <w:rPr>
          <w:i/>
          <w:iCs/>
          <w:lang w:val="en-ID"/>
        </w:rPr>
        <w:t xml:space="preserve">trinity, pneumatology, pneumatological trinitarian, Veli-Mati </w:t>
      </w:r>
      <w:r w:rsidR="008C3635" w:rsidRPr="008C3635">
        <w:rPr>
          <w:i/>
          <w:iCs/>
        </w:rPr>
        <w:t>Kärkkäinen</w:t>
      </w:r>
      <w:r w:rsidR="008C3635" w:rsidRPr="008C3635">
        <w:rPr>
          <w:i/>
          <w:iCs/>
          <w:lang w:val="en-ID"/>
        </w:rPr>
        <w:t>, theology of religions, diversity</w:t>
      </w:r>
    </w:p>
    <w:p w14:paraId="1CD92599" w14:textId="77777777" w:rsidR="00FD5328" w:rsidRPr="00893B05" w:rsidRDefault="00FD5328" w:rsidP="00FD5328">
      <w:pPr>
        <w:pStyle w:val="Kurios-Abstrak"/>
        <w:rPr>
          <w:i/>
          <w:iCs/>
        </w:rPr>
      </w:pPr>
    </w:p>
    <w:p w14:paraId="7343C5F8" w14:textId="77777777" w:rsidR="00AC64E6" w:rsidRPr="00893B05" w:rsidRDefault="00AC64E6" w:rsidP="00FD5328">
      <w:pPr>
        <w:pStyle w:val="Kurios-Abstrak"/>
        <w:rPr>
          <w:b/>
          <w:bCs/>
        </w:rPr>
      </w:pPr>
    </w:p>
    <w:p w14:paraId="26088686" w14:textId="63ACB25F" w:rsidR="002B030C" w:rsidRPr="00893B05" w:rsidRDefault="002B030C" w:rsidP="00FD5328">
      <w:pPr>
        <w:pStyle w:val="Kurios-Abstrak"/>
      </w:pPr>
      <w:r w:rsidRPr="00893B05">
        <w:rPr>
          <w:b/>
          <w:bCs/>
        </w:rPr>
        <w:t>Abstrak</w:t>
      </w:r>
      <w:r w:rsidRPr="00893B05">
        <w:t>:</w:t>
      </w:r>
    </w:p>
    <w:p w14:paraId="08E29D6D" w14:textId="2BEEE9C7" w:rsidR="00AC64E6" w:rsidRPr="008C3635" w:rsidRDefault="009D3F48" w:rsidP="009D3F48">
      <w:pPr>
        <w:pStyle w:val="Kurios-Abstrak"/>
      </w:pPr>
      <w:r w:rsidRPr="008C3635">
        <w:t xml:space="preserve">Tulisan ini mengangkat pendekatan trinitarian pneumatologis yang bisa digunakan sebagai dasar landasan teologi agama-agama dalam konteks keberagaman di Indonesia. Dengan menggunakan pemahaman teologi trinitarian dengan penekanan kepada karya keselamatan Allah dalam Roh Kudus yang melampaui batas gereja, kita bisa membangun sebuah teologi agama-agama </w:t>
      </w:r>
      <w:r w:rsidR="00613365" w:rsidRPr="008C3635">
        <w:t xml:space="preserve">dengan basis </w:t>
      </w:r>
      <w:r w:rsidRPr="008C3635">
        <w:t xml:space="preserve">baru yang melampaui </w:t>
      </w:r>
      <w:r w:rsidR="008C3635" w:rsidRPr="008C3635">
        <w:t>eksklusivisme</w:t>
      </w:r>
      <w:r w:rsidRPr="008C3635">
        <w:t xml:space="preserve"> atau pluralis</w:t>
      </w:r>
      <w:r w:rsidR="008C3635">
        <w:rPr>
          <w:lang w:val="en-ID"/>
        </w:rPr>
        <w:t>me</w:t>
      </w:r>
      <w:r w:rsidRPr="008C3635">
        <w:t xml:space="preserve">. Penelitian ini akan menggunakan pemikiran </w:t>
      </w:r>
      <w:r w:rsidR="00613365" w:rsidRPr="008C3635">
        <w:t xml:space="preserve">teologi trinitarian pneumatologis </w:t>
      </w:r>
      <w:r w:rsidRPr="008C3635">
        <w:t xml:space="preserve">Veli-Mati Kärkkäinen dengan metode penelitian kepustakaan. Kärkkäinen menjelaskan bahwa karya keselamatan Allah dalam Roh Kudus, yang tidak terlepas dari gerak perikoresis, bergerak melampaui sekat yang dibuat manusia, untuk memanggil manusia kepada </w:t>
      </w:r>
      <w:r w:rsidR="00613365" w:rsidRPr="008C3635">
        <w:t xml:space="preserve">karya keselamatan </w:t>
      </w:r>
      <w:r w:rsidRPr="008C3635">
        <w:t xml:space="preserve">Allah. Pada akhirnya, kita bisa melihat bahwa pandangan ini </w:t>
      </w:r>
      <w:r w:rsidR="00613365" w:rsidRPr="008C3635">
        <w:t>lebih khusus untuk orang Kristen sendiri dalam memahami Allah Trinitas namun mungkin akan lebih sulit untuk dipahami oleh orang di luar kekristenan.</w:t>
      </w:r>
    </w:p>
    <w:p w14:paraId="6206BA88" w14:textId="77777777" w:rsidR="009D3F48" w:rsidRDefault="009D3F48" w:rsidP="00AC64E6">
      <w:pPr>
        <w:pStyle w:val="Kurios-Abstrak"/>
        <w:pBdr>
          <w:bottom w:val="single" w:sz="6" w:space="1" w:color="auto"/>
        </w:pBdr>
        <w:rPr>
          <w:b/>
          <w:bCs/>
        </w:rPr>
      </w:pPr>
    </w:p>
    <w:p w14:paraId="3B0F88B3" w14:textId="55E063CF" w:rsidR="002B030C" w:rsidRPr="00613365" w:rsidRDefault="002B030C" w:rsidP="00AC64E6">
      <w:pPr>
        <w:pStyle w:val="Kurios-Abstrak"/>
        <w:pBdr>
          <w:bottom w:val="single" w:sz="6" w:space="1" w:color="auto"/>
        </w:pBdr>
        <w:rPr>
          <w:b/>
          <w:bCs/>
          <w:lang w:val="en-ID"/>
        </w:rPr>
      </w:pPr>
      <w:r w:rsidRPr="00893B05">
        <w:rPr>
          <w:b/>
          <w:bCs/>
        </w:rPr>
        <w:t>Kata Kunci</w:t>
      </w:r>
      <w:r w:rsidR="00AC64E6" w:rsidRPr="00893B05">
        <w:rPr>
          <w:b/>
          <w:bCs/>
        </w:rPr>
        <w:t>:</w:t>
      </w:r>
      <w:r w:rsidR="00613365">
        <w:rPr>
          <w:b/>
          <w:bCs/>
          <w:lang w:val="en-ID"/>
        </w:rPr>
        <w:t xml:space="preserve"> </w:t>
      </w:r>
      <w:r w:rsidR="00613365" w:rsidRPr="008C3635">
        <w:rPr>
          <w:lang w:val="en-ID"/>
        </w:rPr>
        <w:t>trinitas,</w:t>
      </w:r>
      <w:r w:rsidR="00613365">
        <w:rPr>
          <w:b/>
          <w:bCs/>
          <w:lang w:val="en-ID"/>
        </w:rPr>
        <w:t xml:space="preserve"> </w:t>
      </w:r>
      <w:r w:rsidR="00613365" w:rsidRPr="00613365">
        <w:rPr>
          <w:lang w:val="en-ID"/>
        </w:rPr>
        <w:t xml:space="preserve">pneumatologi, trinitarian pneumatologis, Veli-Mati </w:t>
      </w:r>
      <w:r w:rsidR="00613365" w:rsidRPr="00613365">
        <w:t>Kärkkäinen</w:t>
      </w:r>
      <w:r w:rsidR="00613365" w:rsidRPr="00613365">
        <w:rPr>
          <w:lang w:val="en-ID"/>
        </w:rPr>
        <w:t>, teologi agama-agama, keberagaman</w:t>
      </w:r>
    </w:p>
    <w:p w14:paraId="56CB3704" w14:textId="4D0A7B08" w:rsidR="00AC64E6" w:rsidRPr="00893B05" w:rsidRDefault="00AC64E6" w:rsidP="00AC64E6">
      <w:pPr>
        <w:pStyle w:val="Kurios-Abstrak"/>
        <w:pBdr>
          <w:bottom w:val="single" w:sz="6" w:space="1" w:color="auto"/>
        </w:pBdr>
        <w:rPr>
          <w:b/>
          <w:bCs/>
        </w:rPr>
      </w:pPr>
    </w:p>
    <w:p w14:paraId="261EAEEF" w14:textId="77777777" w:rsidR="00AC64E6" w:rsidRPr="00893B05" w:rsidRDefault="00AC64E6" w:rsidP="00AC64E6">
      <w:pPr>
        <w:pStyle w:val="Kurios-Abstrak"/>
        <w:pBdr>
          <w:bottom w:val="single" w:sz="6" w:space="1" w:color="auto"/>
        </w:pBdr>
        <w:rPr>
          <w:b/>
          <w:bCs/>
        </w:rPr>
      </w:pPr>
    </w:p>
    <w:p w14:paraId="04C183D1" w14:textId="6B6949F5" w:rsidR="002B030C" w:rsidRPr="00893B05" w:rsidRDefault="002B030C" w:rsidP="00EE46B5">
      <w:pPr>
        <w:pStyle w:val="KuriosSubjudul"/>
        <w:rPr>
          <w:rFonts w:asciiTheme="majorBidi" w:hAnsiTheme="majorBidi" w:cstheme="majorBidi"/>
          <w:lang w:val="id-ID"/>
        </w:rPr>
      </w:pPr>
      <w:r w:rsidRPr="00893B05">
        <w:rPr>
          <w:rFonts w:asciiTheme="majorBidi" w:hAnsiTheme="majorBidi" w:cstheme="majorBidi"/>
          <w:lang w:val="id-ID"/>
        </w:rPr>
        <w:t>I. Pendahuluan</w:t>
      </w:r>
    </w:p>
    <w:p w14:paraId="5DC7A297" w14:textId="7830708B" w:rsidR="00A5358D" w:rsidRPr="00893B05" w:rsidRDefault="00A5358D" w:rsidP="0008518B">
      <w:pPr>
        <w:pStyle w:val="KuriosKonten"/>
        <w:rPr>
          <w:rFonts w:asciiTheme="majorBidi" w:hAnsiTheme="majorBidi" w:cstheme="majorBidi"/>
          <w:lang w:val="id-ID"/>
        </w:rPr>
      </w:pPr>
      <w:r w:rsidRPr="00893B05">
        <w:rPr>
          <w:rFonts w:asciiTheme="majorBidi" w:hAnsiTheme="majorBidi" w:cstheme="majorBidi"/>
          <w:lang w:val="id-ID"/>
        </w:rPr>
        <w:t xml:space="preserve">Kenyataan kehidupan di Indonesia yang sangat beragam membuat kita juga menghargai kepelbagaian yang ada. Namun demikian, pencarian kebenaran dalam agama juga memaksa kita untuk berkontestasi mengenai siapa atau agama apa yang memiliki nilai kebenaran tertinggi, atau yang paling benar. </w:t>
      </w:r>
      <w:r w:rsidR="0095027E" w:rsidRPr="00893B05">
        <w:rPr>
          <w:rFonts w:asciiTheme="majorBidi" w:hAnsiTheme="majorBidi" w:cstheme="majorBidi"/>
          <w:lang w:val="id-ID"/>
        </w:rPr>
        <w:t xml:space="preserve">Setiap pengikut agama biasanya akan mengklaim bahwa </w:t>
      </w:r>
      <w:r w:rsidR="0095027E" w:rsidRPr="00893B05">
        <w:rPr>
          <w:rFonts w:asciiTheme="majorBidi" w:hAnsiTheme="majorBidi" w:cstheme="majorBidi"/>
          <w:lang w:val="id-ID"/>
        </w:rPr>
        <w:lastRenderedPageBreak/>
        <w:t xml:space="preserve">agamanya adalah kebenaran yang tertinggi atau absolut. </w:t>
      </w:r>
      <w:r w:rsidRPr="00893B05">
        <w:rPr>
          <w:rFonts w:asciiTheme="majorBidi" w:hAnsiTheme="majorBidi" w:cstheme="majorBidi"/>
          <w:lang w:val="id-ID"/>
        </w:rPr>
        <w:t xml:space="preserve">Sayangnya, dalam </w:t>
      </w:r>
      <w:r w:rsidR="008012E2" w:rsidRPr="00893B05">
        <w:rPr>
          <w:rFonts w:asciiTheme="majorBidi" w:hAnsiTheme="majorBidi" w:cstheme="majorBidi"/>
          <w:lang w:val="id-ID"/>
        </w:rPr>
        <w:t>klaim</w:t>
      </w:r>
      <w:r w:rsidR="0095027E" w:rsidRPr="00893B05">
        <w:rPr>
          <w:rFonts w:asciiTheme="majorBidi" w:hAnsiTheme="majorBidi" w:cstheme="majorBidi"/>
          <w:lang w:val="id-ID"/>
        </w:rPr>
        <w:t xml:space="preserve"> </w:t>
      </w:r>
      <w:r w:rsidRPr="00893B05">
        <w:rPr>
          <w:rFonts w:asciiTheme="majorBidi" w:hAnsiTheme="majorBidi" w:cstheme="majorBidi"/>
          <w:lang w:val="id-ID"/>
        </w:rPr>
        <w:t>kebenaran</w:t>
      </w:r>
      <w:r w:rsidR="0095027E" w:rsidRPr="00893B05">
        <w:rPr>
          <w:rFonts w:asciiTheme="majorBidi" w:hAnsiTheme="majorBidi" w:cstheme="majorBidi"/>
          <w:lang w:val="id-ID"/>
        </w:rPr>
        <w:t xml:space="preserve"> agama</w:t>
      </w:r>
      <w:r w:rsidRPr="00893B05">
        <w:rPr>
          <w:rFonts w:asciiTheme="majorBidi" w:hAnsiTheme="majorBidi" w:cstheme="majorBidi"/>
          <w:lang w:val="id-ID"/>
        </w:rPr>
        <w:t xml:space="preserve">, pihak-pihak lupa bahwa untuk dapat hidup berdampingan, kita perlu untuk saling memahami dan saling menghargai. </w:t>
      </w:r>
    </w:p>
    <w:p w14:paraId="32943F36" w14:textId="755A7051" w:rsidR="0008518B" w:rsidRPr="00893B05" w:rsidRDefault="0095027E" w:rsidP="0008518B">
      <w:pPr>
        <w:pStyle w:val="KuriosKonten"/>
        <w:rPr>
          <w:rFonts w:asciiTheme="majorBidi" w:hAnsiTheme="majorBidi" w:cstheme="majorBidi"/>
          <w:lang w:val="id-ID"/>
        </w:rPr>
      </w:pPr>
      <w:r w:rsidRPr="00893B05">
        <w:rPr>
          <w:rFonts w:asciiTheme="majorBidi" w:hAnsiTheme="majorBidi" w:cstheme="majorBidi"/>
          <w:lang w:val="id-ID"/>
        </w:rPr>
        <w:t>Untuk dapat hidup berdampingan dengan penganut agama lain, tanpa mengabaikan atau menegasikan kebenaran yang ada dalam iman kepada Allah Bapa, Putra, dan Roh Kudus, umat Kristen perlu menemukan teologi agama-agama yang akan menjawab pertanyaan, bagaimana menyikapi dan berelasi dengan agama lain. Teologi berarti upaya manusia yang terbatas untuk memahami siapa sang Pencipta</w:t>
      </w:r>
      <w:r w:rsidR="00770874" w:rsidRPr="00893B05">
        <w:rPr>
          <w:rFonts w:asciiTheme="majorBidi" w:hAnsiTheme="majorBidi" w:cstheme="majorBidi"/>
          <w:lang w:val="id-ID"/>
        </w:rPr>
        <w:t>, dan pemahaman kita akan Tuhan memengaruhi persepsi kita terhadap yang lain.</w:t>
      </w:r>
      <w:r w:rsidR="00770874" w:rsidRPr="00893B05">
        <w:rPr>
          <w:rStyle w:val="FootnoteReference"/>
          <w:rFonts w:asciiTheme="majorBidi" w:hAnsiTheme="majorBidi" w:cstheme="majorBidi"/>
          <w:lang w:val="id-ID"/>
        </w:rPr>
        <w:footnoteReference w:id="1"/>
      </w:r>
      <w:r w:rsidR="00770874" w:rsidRPr="00893B05">
        <w:rPr>
          <w:rFonts w:asciiTheme="majorBidi" w:hAnsiTheme="majorBidi" w:cstheme="majorBidi"/>
          <w:lang w:val="id-ID"/>
        </w:rPr>
        <w:t xml:space="preserve"> Selanjutnya Yong juga mengungkapkan bahwa teologi agama-agama juga sangat kuat dipengaruhi oleh konteks sebuah teologi dilahirkan. Dengan demikian, ia berkesimpulan bahwa sejatinya tidak ada teologi agama-agama yang benar-benar murni. Teologi agama-agama tidak akan bisa terpisah dari budaya, sejarah, dan sebagainya</w:t>
      </w:r>
      <w:r w:rsidR="00E44200">
        <w:rPr>
          <w:rFonts w:asciiTheme="majorBidi" w:hAnsiTheme="majorBidi" w:cstheme="majorBidi"/>
          <w:lang w:val="id-ID"/>
        </w:rPr>
        <w:t>.</w:t>
      </w:r>
      <w:r w:rsidR="00770874" w:rsidRPr="00893B05">
        <w:rPr>
          <w:rFonts w:asciiTheme="majorBidi" w:hAnsiTheme="majorBidi" w:cstheme="majorBidi"/>
          <w:lang w:val="id-ID"/>
        </w:rPr>
        <w:t xml:space="preserve"> Dengan demikian kita bisa memahami t</w:t>
      </w:r>
      <w:r w:rsidRPr="00893B05">
        <w:rPr>
          <w:rFonts w:asciiTheme="majorBidi" w:hAnsiTheme="majorBidi" w:cstheme="majorBidi"/>
          <w:lang w:val="id-ID"/>
        </w:rPr>
        <w:t xml:space="preserve">eologi agama-agama </w:t>
      </w:r>
      <w:r w:rsidR="00770874" w:rsidRPr="00893B05">
        <w:rPr>
          <w:rFonts w:asciiTheme="majorBidi" w:hAnsiTheme="majorBidi" w:cstheme="majorBidi"/>
          <w:lang w:val="id-ID"/>
        </w:rPr>
        <w:t xml:space="preserve">sebagai </w:t>
      </w:r>
      <w:r w:rsidRPr="00893B05">
        <w:rPr>
          <w:rFonts w:asciiTheme="majorBidi" w:hAnsiTheme="majorBidi" w:cstheme="majorBidi"/>
          <w:lang w:val="id-ID"/>
        </w:rPr>
        <w:t>upaya untuk mempelajari berbagai tradisi agama lain untuk merefleksikan makna agama-agama lain sehubungan dengan keyakinannya sendiri.</w:t>
      </w:r>
      <w:r w:rsidRPr="00893B05">
        <w:rPr>
          <w:rStyle w:val="FootnoteReference"/>
          <w:rFonts w:asciiTheme="majorBidi" w:hAnsiTheme="majorBidi" w:cstheme="majorBidi"/>
          <w:lang w:val="id-ID"/>
        </w:rPr>
        <w:footnoteReference w:id="2"/>
      </w:r>
      <w:r w:rsidR="00770874" w:rsidRPr="00893B05">
        <w:rPr>
          <w:rFonts w:asciiTheme="majorBidi" w:hAnsiTheme="majorBidi" w:cstheme="majorBidi"/>
          <w:lang w:val="id-ID"/>
        </w:rPr>
        <w:t xml:space="preserve"> </w:t>
      </w:r>
    </w:p>
    <w:p w14:paraId="2EE560F3" w14:textId="3195BAA5" w:rsidR="0008518B" w:rsidRPr="00893B05" w:rsidRDefault="0008518B" w:rsidP="008012E2">
      <w:pPr>
        <w:pStyle w:val="KuriosKonten"/>
        <w:rPr>
          <w:rFonts w:asciiTheme="majorBidi" w:hAnsiTheme="majorBidi" w:cstheme="majorBidi"/>
          <w:lang w:val="id-ID"/>
        </w:rPr>
      </w:pPr>
      <w:r w:rsidRPr="00893B05">
        <w:rPr>
          <w:rFonts w:asciiTheme="majorBidi" w:hAnsiTheme="majorBidi" w:cstheme="majorBidi"/>
          <w:lang w:val="id-ID"/>
        </w:rPr>
        <w:t xml:space="preserve">Keengganan lain untuk memiliki teologi agama-agama yang kuat adalah tuntutan untuk menganggap agama yang lain sebagai setara dan adanya kerendahan hati bahwa dirinya bukanlah pemilik kebenaran tunggal. </w:t>
      </w:r>
      <w:r w:rsidR="0020469B" w:rsidRPr="00893B05">
        <w:rPr>
          <w:rFonts w:asciiTheme="majorBidi" w:hAnsiTheme="majorBidi" w:cstheme="majorBidi"/>
          <w:lang w:val="id-ID"/>
        </w:rPr>
        <w:t>Dalam eksplorasi teologi agama-agama, s</w:t>
      </w:r>
      <w:r w:rsidRPr="00893B05">
        <w:rPr>
          <w:rFonts w:asciiTheme="majorBidi" w:hAnsiTheme="majorBidi" w:cstheme="majorBidi"/>
          <w:lang w:val="id-ID"/>
        </w:rPr>
        <w:t>etiap agama bukan pusat, melainkan salah satu bagian dari keberagaman yang ada</w:t>
      </w:r>
      <w:r w:rsidR="008012E2" w:rsidRPr="00893B05">
        <w:rPr>
          <w:rFonts w:asciiTheme="majorBidi" w:hAnsiTheme="majorBidi" w:cstheme="majorBidi"/>
          <w:lang w:val="id-ID"/>
        </w:rPr>
        <w:t>.</w:t>
      </w:r>
      <w:r w:rsidR="008012E2" w:rsidRPr="00893B05">
        <w:rPr>
          <w:rStyle w:val="FootnoteReference"/>
          <w:rFonts w:asciiTheme="majorBidi" w:hAnsiTheme="majorBidi" w:cstheme="majorBidi"/>
          <w:lang w:val="id-ID"/>
        </w:rPr>
        <w:footnoteReference w:id="3"/>
      </w:r>
      <w:r w:rsidRPr="00893B05">
        <w:rPr>
          <w:rFonts w:asciiTheme="majorBidi" w:hAnsiTheme="majorBidi" w:cstheme="majorBidi"/>
          <w:lang w:val="id-ID"/>
        </w:rPr>
        <w:t xml:space="preserve"> Semua agama memiliki sifat yang terbatas dan dinamis karena bahasa agama terbatas dalam menggambarkan realitas ilahi dan dalam hal inilah agama mesti terbuka dengan agama lain. Keterbukaan terhadap agama lain di dalam kerendahan hati diharapkan mampu untuk saling memperkaya</w:t>
      </w:r>
      <w:r w:rsidR="008012E2" w:rsidRPr="00893B05">
        <w:rPr>
          <w:rFonts w:asciiTheme="majorBidi" w:hAnsiTheme="majorBidi" w:cstheme="majorBidi"/>
          <w:lang w:val="id-ID"/>
        </w:rPr>
        <w:t>.</w:t>
      </w:r>
      <w:r w:rsidR="008012E2" w:rsidRPr="00893B05">
        <w:rPr>
          <w:rStyle w:val="FootnoteReference"/>
          <w:rFonts w:asciiTheme="majorBidi" w:hAnsiTheme="majorBidi" w:cstheme="majorBidi"/>
          <w:lang w:val="id-ID"/>
        </w:rPr>
        <w:footnoteReference w:id="4"/>
      </w:r>
      <w:r w:rsidR="008012E2" w:rsidRPr="00893B05">
        <w:rPr>
          <w:rFonts w:asciiTheme="majorBidi" w:hAnsiTheme="majorBidi" w:cstheme="majorBidi"/>
          <w:lang w:val="id-ID"/>
        </w:rPr>
        <w:t xml:space="preserve"> </w:t>
      </w:r>
      <w:r w:rsidRPr="00893B05">
        <w:rPr>
          <w:rFonts w:asciiTheme="majorBidi" w:hAnsiTheme="majorBidi" w:cstheme="majorBidi"/>
          <w:lang w:val="id-ID"/>
        </w:rPr>
        <w:t>Keterbukaan ini meliputi dua keterbukaan, yaitu keterbukaan hermeneutis dan keterbukaan penghargaan. Keterbukaan hermeneutis menekankan pengertian atau kerelaan satu agama untuk dapat memahami makna simbol, ajaran dan praktik agama lain. Bentuk pertama ini mengisyaratkan kemauan untuk memahami yang lain dalam perbedaan dan menghindari untuk mempersalahkannya karena berbeda dengan agamanya sendiri. Sedangkan keterbukaan penghargaan adalah menyangkut menghormati keberadaan agama-agama lain, karena setiap agama menuntut adanya pengakuan</w:t>
      </w:r>
      <w:r w:rsidR="008012E2" w:rsidRPr="00893B05">
        <w:rPr>
          <w:rFonts w:asciiTheme="majorBidi" w:hAnsiTheme="majorBidi" w:cstheme="majorBidi"/>
          <w:lang w:val="id-ID"/>
        </w:rPr>
        <w:t>.</w:t>
      </w:r>
      <w:r w:rsidR="008012E2" w:rsidRPr="00893B05">
        <w:rPr>
          <w:rStyle w:val="FootnoteReference"/>
          <w:rFonts w:asciiTheme="majorBidi" w:hAnsiTheme="majorBidi" w:cstheme="majorBidi"/>
          <w:lang w:val="id-ID"/>
        </w:rPr>
        <w:footnoteReference w:id="5"/>
      </w:r>
      <w:r w:rsidR="0020469B" w:rsidRPr="00893B05">
        <w:rPr>
          <w:rFonts w:asciiTheme="majorBidi" w:hAnsiTheme="majorBidi" w:cstheme="majorBidi"/>
          <w:lang w:val="id-ID"/>
        </w:rPr>
        <w:t xml:space="preserve"> </w:t>
      </w:r>
    </w:p>
    <w:p w14:paraId="06D886C2" w14:textId="391D7C10" w:rsidR="00E572CB" w:rsidRPr="00893B05" w:rsidRDefault="00E572CB" w:rsidP="00E572CB">
      <w:pPr>
        <w:pStyle w:val="KuriosKonten"/>
        <w:rPr>
          <w:rFonts w:asciiTheme="majorBidi" w:hAnsiTheme="majorBidi" w:cstheme="majorBidi"/>
          <w:lang w:val="id-ID"/>
        </w:rPr>
      </w:pPr>
      <w:r w:rsidRPr="00893B05">
        <w:rPr>
          <w:rFonts w:asciiTheme="majorBidi" w:hAnsiTheme="majorBidi" w:cstheme="majorBidi"/>
          <w:lang w:val="id-ID"/>
        </w:rPr>
        <w:lastRenderedPageBreak/>
        <w:t xml:space="preserve">Beberapa </w:t>
      </w:r>
      <w:r w:rsidR="00E671B4" w:rsidRPr="00893B05">
        <w:rPr>
          <w:rFonts w:asciiTheme="majorBidi" w:hAnsiTheme="majorBidi" w:cstheme="majorBidi"/>
          <w:lang w:val="id-ID"/>
        </w:rPr>
        <w:t xml:space="preserve">usaha </w:t>
      </w:r>
      <w:r w:rsidRPr="00893B05">
        <w:rPr>
          <w:rFonts w:asciiTheme="majorBidi" w:hAnsiTheme="majorBidi" w:cstheme="majorBidi"/>
          <w:lang w:val="id-ID"/>
        </w:rPr>
        <w:t>untuk mencoba membuka ruang dialog telah dimu</w:t>
      </w:r>
      <w:r w:rsidRPr="00893B05">
        <w:rPr>
          <w:rFonts w:asciiTheme="majorBidi" w:hAnsiTheme="majorBidi" w:cstheme="majorBidi"/>
          <w:lang w:val="id-ID"/>
        </w:rPr>
        <w:softHyphen/>
        <w:t>lai, dari pendekatan budaya dan teologi kontekstual,</w:t>
      </w:r>
      <w:r w:rsidR="00E671B4" w:rsidRPr="00893B05">
        <w:rPr>
          <w:rStyle w:val="FootnoteReference"/>
          <w:rFonts w:asciiTheme="majorBidi" w:hAnsiTheme="majorBidi" w:cstheme="majorBidi"/>
          <w:lang w:val="id-ID"/>
        </w:rPr>
        <w:footnoteReference w:id="6"/>
      </w:r>
      <w:r w:rsidRPr="00893B05">
        <w:rPr>
          <w:rFonts w:asciiTheme="majorBidi" w:hAnsiTheme="majorBidi" w:cstheme="majorBidi"/>
          <w:lang w:val="id-ID"/>
        </w:rPr>
        <w:t xml:space="preserve"> Yesus Kristus sebagai titik pertemuan,</w:t>
      </w:r>
      <w:r w:rsidR="00E671B4" w:rsidRPr="00893B05">
        <w:rPr>
          <w:rStyle w:val="FootnoteReference"/>
          <w:rFonts w:asciiTheme="majorBidi" w:hAnsiTheme="majorBidi" w:cstheme="majorBidi"/>
          <w:lang w:val="id-ID"/>
        </w:rPr>
        <w:footnoteReference w:id="7"/>
      </w:r>
      <w:r w:rsidRPr="00893B05">
        <w:rPr>
          <w:rFonts w:asciiTheme="majorBidi" w:hAnsiTheme="majorBidi" w:cstheme="majorBidi"/>
          <w:lang w:val="id-ID"/>
        </w:rPr>
        <w:t xml:space="preserve"> dan realita perbedaan dalam penciptaan. Namun demikian, satu kemungkinan yang akan dibahas dalam penelitian ini adalah pendekatan trinitarian pneumatologis, yaitu pendekatan yang melihat bahwa Allah terus menerus hadir dalam perseku</w:t>
      </w:r>
      <w:r w:rsidRPr="00893B05">
        <w:rPr>
          <w:rFonts w:asciiTheme="majorBidi" w:hAnsiTheme="majorBidi" w:cstheme="majorBidi"/>
          <w:lang w:val="id-ID"/>
        </w:rPr>
        <w:softHyphen/>
        <w:t>tuan Trinitatis dengan Roh Kudus yang sekarang bekerja dalam karya keselamatan. Pendekatan trinitarian pneumatologis menggunakan teologi pneumatologis dalam kerangka trinitarian. Pendekatan ini berakar pada teologi relasi persekutuan Trinitas. Relasi antara Bapa dengan Anak dan Roh Kudus adalah dasar untuk identitas Allah yang hadir dalam sejarah. Relasionalitas tersebut memperkenalkan relasionalitas Allah Trinitas dengan sejarah dan waktu dalam inkarnasi dan penyempurnaan.</w:t>
      </w:r>
      <w:r w:rsidRPr="00893B05">
        <w:rPr>
          <w:rStyle w:val="FootnoteReference"/>
          <w:rFonts w:asciiTheme="majorBidi" w:hAnsiTheme="majorBidi" w:cstheme="majorBidi"/>
          <w:lang w:val="id-ID"/>
        </w:rPr>
        <w:footnoteReference w:id="8"/>
      </w:r>
      <w:r w:rsidRPr="00893B05">
        <w:rPr>
          <w:rFonts w:asciiTheme="majorBidi" w:hAnsiTheme="majorBidi" w:cstheme="majorBidi"/>
          <w:lang w:val="id-ID"/>
        </w:rPr>
        <w:t xml:space="preserve"> </w:t>
      </w:r>
    </w:p>
    <w:p w14:paraId="49FE970B" w14:textId="07D1A506" w:rsidR="00FD5328" w:rsidRPr="00893B05" w:rsidRDefault="00FD5328" w:rsidP="00E572CB">
      <w:pPr>
        <w:pStyle w:val="KuriosKonten"/>
        <w:rPr>
          <w:rFonts w:asciiTheme="majorBidi" w:hAnsiTheme="majorBidi" w:cstheme="majorBidi"/>
          <w:lang w:val="id-ID"/>
        </w:rPr>
      </w:pPr>
      <w:r w:rsidRPr="00893B05">
        <w:rPr>
          <w:rFonts w:asciiTheme="majorBidi" w:hAnsiTheme="majorBidi" w:cstheme="majorBidi"/>
          <w:lang w:val="id-ID"/>
        </w:rPr>
        <w:t>Pertanyaan utama adalah, bagaimana konsep trinitarian pneumatologis menjadi sebuah tawaran bagi pembahasan teologi agama-agama, terutama dalam konteks gereja-gereja di Indonesia yang menghadapi realitas keberagaman? Pertanyaan selanjutnya adalah seputar kekuatan dan kelemahan dari pandangan teologis ini dan apa tugas-tugas berikutnya untuk membangun teologi agama-agama yang kuat dalam rangka mengelola keberagaman.</w:t>
      </w:r>
    </w:p>
    <w:p w14:paraId="1B6273E7" w14:textId="2B0515D9" w:rsidR="002B030C" w:rsidRPr="00893B05" w:rsidRDefault="002B030C" w:rsidP="0008518B">
      <w:pPr>
        <w:pStyle w:val="KuriosKonten"/>
        <w:rPr>
          <w:rFonts w:asciiTheme="majorBidi" w:hAnsiTheme="majorBidi" w:cstheme="majorBidi"/>
          <w:lang w:val="id-ID"/>
        </w:rPr>
      </w:pPr>
    </w:p>
    <w:p w14:paraId="7D23F0C2" w14:textId="42E5A18D" w:rsidR="002B030C" w:rsidRPr="00893B05" w:rsidRDefault="002B030C" w:rsidP="00EE46B5">
      <w:pPr>
        <w:pStyle w:val="KuriosSubjudul"/>
        <w:rPr>
          <w:rFonts w:asciiTheme="majorBidi" w:hAnsiTheme="majorBidi" w:cstheme="majorBidi"/>
          <w:lang w:val="id-ID"/>
        </w:rPr>
      </w:pPr>
      <w:r w:rsidRPr="00893B05">
        <w:rPr>
          <w:rFonts w:asciiTheme="majorBidi" w:hAnsiTheme="majorBidi" w:cstheme="majorBidi"/>
          <w:lang w:val="id-ID"/>
        </w:rPr>
        <w:t>II. Metode</w:t>
      </w:r>
    </w:p>
    <w:p w14:paraId="6F2A2CFD" w14:textId="77777777" w:rsidR="00FD5328" w:rsidRPr="00893B05" w:rsidRDefault="00FD5328" w:rsidP="00FD5328">
      <w:pPr>
        <w:pStyle w:val="KuriosKonten"/>
        <w:rPr>
          <w:rFonts w:asciiTheme="majorBidi" w:hAnsiTheme="majorBidi" w:cstheme="majorBidi"/>
          <w:lang w:val="id-ID"/>
        </w:rPr>
      </w:pPr>
      <w:r w:rsidRPr="00893B05">
        <w:rPr>
          <w:rFonts w:asciiTheme="majorBidi" w:hAnsiTheme="majorBidi" w:cstheme="majorBidi"/>
          <w:lang w:val="id-ID"/>
        </w:rPr>
        <w:t xml:space="preserve">Tulisan ini akan membahas teologi trinitarian pneumatologis sebagai pilihan dalam pendekatan teologi agama-agama yang melihat karya Roh Kudus dalam agama-agama lain sebagai bagian dari karya keselamatan Allah. Tulisan ini akan menjelaskan apa yang dimaksud dengan konsep teologi trinitarian pneumatologis dari karya </w:t>
      </w:r>
      <w:r w:rsidRPr="00893B05">
        <w:rPr>
          <w:lang w:val="id-ID"/>
        </w:rPr>
        <w:t>Veli-Matti Kärkkäinen setelah memberikan penjelasan singkat mengenai apa itu teologi trinitarian. Tulisan ini juga akan memberi analisis kritis akan tawaran tersebut dan berbagai tantangan yang dapat menjadi pokok penelitian berikutnya.</w:t>
      </w:r>
    </w:p>
    <w:p w14:paraId="7E736720" w14:textId="2C482CB7" w:rsidR="002B030C" w:rsidRPr="00893B05" w:rsidRDefault="002B030C" w:rsidP="0008518B">
      <w:pPr>
        <w:pStyle w:val="KuriosKonten"/>
        <w:rPr>
          <w:rFonts w:asciiTheme="majorBidi" w:hAnsiTheme="majorBidi" w:cstheme="majorBidi"/>
          <w:lang w:val="id-ID"/>
        </w:rPr>
      </w:pPr>
    </w:p>
    <w:p w14:paraId="67E82625" w14:textId="6C8D2650" w:rsidR="002B030C" w:rsidRPr="00893B05" w:rsidRDefault="002B030C" w:rsidP="00EE46B5">
      <w:pPr>
        <w:pStyle w:val="KuriosSubjudul"/>
        <w:rPr>
          <w:rFonts w:asciiTheme="majorBidi" w:hAnsiTheme="majorBidi" w:cstheme="majorBidi"/>
          <w:lang w:val="id-ID"/>
        </w:rPr>
      </w:pPr>
      <w:r w:rsidRPr="00893B05">
        <w:rPr>
          <w:rFonts w:asciiTheme="majorBidi" w:hAnsiTheme="majorBidi" w:cstheme="majorBidi"/>
          <w:lang w:val="id-ID"/>
        </w:rPr>
        <w:t>III. Hasil dan Pembahasan</w:t>
      </w:r>
    </w:p>
    <w:p w14:paraId="7470E199" w14:textId="29CEA614" w:rsidR="0020469B" w:rsidRPr="00893B05" w:rsidRDefault="0020469B" w:rsidP="0020469B">
      <w:pPr>
        <w:pStyle w:val="KuriosSubjudul"/>
        <w:rPr>
          <w:rFonts w:asciiTheme="majorBidi" w:hAnsiTheme="majorBidi" w:cstheme="majorBidi"/>
          <w:lang w:val="id-ID"/>
        </w:rPr>
      </w:pPr>
      <w:r w:rsidRPr="00893B05">
        <w:rPr>
          <w:rFonts w:asciiTheme="majorBidi" w:hAnsiTheme="majorBidi" w:cstheme="majorBidi"/>
          <w:lang w:val="id-ID"/>
        </w:rPr>
        <w:t>Perkembangan Teologi Agama-agama</w:t>
      </w:r>
    </w:p>
    <w:p w14:paraId="3A707730" w14:textId="53E8B8FA" w:rsidR="0020469B" w:rsidRPr="00893B05" w:rsidRDefault="0020469B" w:rsidP="00092865">
      <w:pPr>
        <w:pStyle w:val="KuriosKonten"/>
        <w:rPr>
          <w:rFonts w:asciiTheme="majorBidi" w:hAnsiTheme="majorBidi" w:cstheme="majorBidi"/>
          <w:lang w:val="id-ID"/>
        </w:rPr>
      </w:pPr>
      <w:r w:rsidRPr="00893B05">
        <w:rPr>
          <w:rFonts w:asciiTheme="majorBidi" w:hAnsiTheme="majorBidi" w:cstheme="majorBidi"/>
          <w:lang w:val="id-ID"/>
        </w:rPr>
        <w:lastRenderedPageBreak/>
        <w:t xml:space="preserve">Perkembangan teologi agama-agama kemudian banyak muncul dari kalangan teolog Katolik yang pada awalnya menganut prinsip </w:t>
      </w:r>
      <w:r w:rsidRPr="00893B05">
        <w:rPr>
          <w:rFonts w:asciiTheme="majorBidi" w:hAnsiTheme="majorBidi" w:cstheme="majorBidi"/>
          <w:i/>
          <w:lang w:val="id-ID"/>
        </w:rPr>
        <w:t>extra ecclesia nulla salus</w:t>
      </w:r>
      <w:r w:rsidR="008012E2" w:rsidRPr="00893B05">
        <w:rPr>
          <w:rFonts w:asciiTheme="majorBidi" w:hAnsiTheme="majorBidi" w:cstheme="majorBidi"/>
          <w:i/>
          <w:lang w:val="id-ID"/>
        </w:rPr>
        <w:t>.</w:t>
      </w:r>
      <w:r w:rsidR="008012E2" w:rsidRPr="00893B05">
        <w:rPr>
          <w:rStyle w:val="FootnoteReference"/>
          <w:rFonts w:asciiTheme="majorBidi" w:hAnsiTheme="majorBidi" w:cstheme="majorBidi"/>
          <w:i/>
          <w:lang w:val="id-ID"/>
        </w:rPr>
        <w:footnoteReference w:id="9"/>
      </w:r>
      <w:r w:rsidR="008012E2" w:rsidRPr="00893B05">
        <w:rPr>
          <w:rFonts w:asciiTheme="majorBidi" w:hAnsiTheme="majorBidi" w:cstheme="majorBidi"/>
          <w:i/>
          <w:lang w:val="id-ID"/>
        </w:rPr>
        <w:t xml:space="preserve"> </w:t>
      </w:r>
      <w:r w:rsidRPr="00893B05">
        <w:rPr>
          <w:rFonts w:asciiTheme="majorBidi" w:hAnsiTheme="majorBidi" w:cstheme="majorBidi"/>
          <w:lang w:val="id-ID"/>
        </w:rPr>
        <w:t>Pernyataan e</w:t>
      </w:r>
      <w:r w:rsidRPr="00893B05">
        <w:rPr>
          <w:rFonts w:asciiTheme="majorBidi" w:hAnsiTheme="majorBidi" w:cstheme="majorBidi"/>
          <w:i/>
          <w:lang w:val="id-ID"/>
        </w:rPr>
        <w:t>xtra ecclesiam nulla salus</w:t>
      </w:r>
      <w:r w:rsidRPr="00893B05">
        <w:rPr>
          <w:rFonts w:asciiTheme="majorBidi" w:hAnsiTheme="majorBidi" w:cstheme="majorBidi"/>
          <w:lang w:val="id-ID"/>
        </w:rPr>
        <w:t xml:space="preserve"> mendatangkan banyak kritik dan penolakan. Penolakan banyak didatangkan dengan mempertanyakan, universalitas kasih Allah, kemahakuasaan Allah yang akan terbatas jika hanya ada satu agama yang menyelamatkan. Selain kritik teologi yang diterima, ditambah lagi dengan kesadaran realitas baru, kekristenan semakin tertantang untuk membangun teologi agama-agamanya berdasarkan keberagaman. Perkembangan pada era globalisasi membuat segala sesuatu semakin terbuka. Dunia Barat menemukan fakta bahwa terdapat begitu banyak agama di seluruh dunia. Dengan melihat realitas keberagaman yang ada, usaha yang pertama dilakukan adalah membangun kehadiran Kristen di antara agama-agama atau tradisi iman yang lain</w:t>
      </w:r>
      <w:r w:rsidR="008012E2" w:rsidRPr="00893B05">
        <w:rPr>
          <w:rFonts w:asciiTheme="majorBidi" w:hAnsiTheme="majorBidi" w:cstheme="majorBidi"/>
          <w:lang w:val="id-ID"/>
        </w:rPr>
        <w:t>.</w:t>
      </w:r>
      <w:r w:rsidR="008012E2" w:rsidRPr="00893B05">
        <w:rPr>
          <w:rStyle w:val="FootnoteReference"/>
          <w:rFonts w:asciiTheme="majorBidi" w:hAnsiTheme="majorBidi" w:cstheme="majorBidi"/>
          <w:lang w:val="id-ID"/>
        </w:rPr>
        <w:footnoteReference w:id="10"/>
      </w:r>
    </w:p>
    <w:p w14:paraId="7C38A2CD" w14:textId="3F50D3FD" w:rsidR="0020469B" w:rsidRPr="00893B05" w:rsidRDefault="0020469B" w:rsidP="00092865">
      <w:pPr>
        <w:pStyle w:val="KuriosKonten"/>
        <w:rPr>
          <w:rFonts w:asciiTheme="majorBidi" w:hAnsiTheme="majorBidi" w:cstheme="majorBidi"/>
          <w:lang w:val="id-ID"/>
        </w:rPr>
      </w:pPr>
      <w:r w:rsidRPr="00893B05">
        <w:rPr>
          <w:rFonts w:asciiTheme="majorBidi" w:hAnsiTheme="majorBidi" w:cstheme="majorBidi"/>
          <w:lang w:val="id-ID"/>
        </w:rPr>
        <w:t>Di bawah gejolak baru ini, Gereja Katolik kemudian membaharui teologinya dengan keterbukaannya pada realitas</w:t>
      </w:r>
      <w:r w:rsidR="00092865" w:rsidRPr="00893B05">
        <w:rPr>
          <w:rFonts w:asciiTheme="majorBidi" w:hAnsiTheme="majorBidi" w:cstheme="majorBidi"/>
          <w:lang w:val="id-ID"/>
        </w:rPr>
        <w:t xml:space="preserve"> keberagaman</w:t>
      </w:r>
      <w:r w:rsidRPr="00893B05">
        <w:rPr>
          <w:rFonts w:asciiTheme="majorBidi" w:hAnsiTheme="majorBidi" w:cstheme="majorBidi"/>
          <w:lang w:val="id-ID"/>
        </w:rPr>
        <w:t xml:space="preserve">. Konsili Vatikan II (1961-1965) </w:t>
      </w:r>
      <w:r w:rsidR="00092865" w:rsidRPr="00893B05">
        <w:rPr>
          <w:rFonts w:asciiTheme="majorBidi" w:hAnsiTheme="majorBidi" w:cstheme="majorBidi"/>
          <w:lang w:val="id-ID"/>
        </w:rPr>
        <w:t>memberi tempat bagi k</w:t>
      </w:r>
      <w:r w:rsidRPr="00893B05">
        <w:rPr>
          <w:rFonts w:asciiTheme="majorBidi" w:hAnsiTheme="majorBidi" w:cstheme="majorBidi"/>
          <w:lang w:val="id-ID"/>
        </w:rPr>
        <w:t xml:space="preserve">eberagaman yang kemudian diikuti oleh teolog-teolog Protestan melalui keputusan sidang raya di Uppsala (1968). </w:t>
      </w:r>
      <w:r w:rsidR="00092865" w:rsidRPr="00893B05">
        <w:rPr>
          <w:rFonts w:asciiTheme="majorBidi" w:hAnsiTheme="majorBidi" w:cstheme="majorBidi"/>
          <w:lang w:val="id-ID"/>
        </w:rPr>
        <w:t xml:space="preserve">Konsili Vatikan II mengatakan bahwa agama lain memiliki kemungkinan untuk diselamatkan, namun harus melalui Kristus. Dalam ketentuan ini, agama lain akan kehilangan struktur atau kebenaran ajaran keselamatan mereka. </w:t>
      </w:r>
      <w:r w:rsidRPr="00893B05">
        <w:rPr>
          <w:rFonts w:asciiTheme="majorBidi" w:hAnsiTheme="majorBidi" w:cstheme="majorBidi"/>
          <w:lang w:val="id-ID"/>
        </w:rPr>
        <w:t>Sekalipun Konsili Vatikan II telah memberi tempat bagi agama-agama lain, namun banyak teolog yang menyatakan bahwa keterbukaan terebut masih sekadar terbatas pada identitas diri dan pemahaman misi.</w:t>
      </w:r>
      <w:r w:rsidR="00092865" w:rsidRPr="00893B05">
        <w:rPr>
          <w:rStyle w:val="FootnoteReference"/>
          <w:rFonts w:asciiTheme="majorBidi" w:hAnsiTheme="majorBidi" w:cstheme="majorBidi"/>
          <w:lang w:val="id-ID"/>
        </w:rPr>
        <w:footnoteReference w:id="11"/>
      </w:r>
      <w:r w:rsidRPr="00893B05">
        <w:rPr>
          <w:rFonts w:asciiTheme="majorBidi" w:hAnsiTheme="majorBidi" w:cstheme="majorBidi"/>
          <w:lang w:val="id-ID"/>
        </w:rPr>
        <w:t xml:space="preserve"> </w:t>
      </w:r>
      <w:r w:rsidR="00092865" w:rsidRPr="00893B05">
        <w:rPr>
          <w:rFonts w:asciiTheme="majorBidi" w:hAnsiTheme="majorBidi" w:cstheme="majorBidi"/>
          <w:lang w:val="id-ID"/>
        </w:rPr>
        <w:t xml:space="preserve">Di Sidang Raya IV, </w:t>
      </w:r>
      <w:r w:rsidRPr="00893B05">
        <w:rPr>
          <w:rFonts w:asciiTheme="majorBidi" w:hAnsiTheme="majorBidi" w:cstheme="majorBidi"/>
          <w:lang w:val="id-ID"/>
        </w:rPr>
        <w:t xml:space="preserve">World Council of Churches </w:t>
      </w:r>
      <w:r w:rsidR="00092865" w:rsidRPr="00893B05">
        <w:rPr>
          <w:rFonts w:asciiTheme="majorBidi" w:hAnsiTheme="majorBidi" w:cstheme="majorBidi"/>
          <w:lang w:val="id-ID"/>
        </w:rPr>
        <w:t xml:space="preserve">(WCC) membuka diri untuk berjumpa dengan </w:t>
      </w:r>
      <w:r w:rsidRPr="00893B05">
        <w:rPr>
          <w:rFonts w:asciiTheme="majorBidi" w:hAnsiTheme="majorBidi" w:cstheme="majorBidi"/>
          <w:lang w:val="id-ID"/>
        </w:rPr>
        <w:t xml:space="preserve">agama lain. </w:t>
      </w:r>
    </w:p>
    <w:p w14:paraId="10E381B1" w14:textId="2A88F433" w:rsidR="0020469B" w:rsidRPr="00893B05" w:rsidRDefault="0020469B" w:rsidP="0020469B">
      <w:pPr>
        <w:pStyle w:val="KuriosSubjudul"/>
        <w:rPr>
          <w:rFonts w:asciiTheme="majorBidi" w:hAnsiTheme="majorBidi" w:cstheme="majorBidi"/>
          <w:lang w:val="id-ID"/>
        </w:rPr>
      </w:pPr>
      <w:bookmarkStart w:id="2" w:name="_Toc40440085"/>
      <w:bookmarkStart w:id="3" w:name="_Toc40710592"/>
      <w:bookmarkStart w:id="4" w:name="_Toc41642741"/>
      <w:r w:rsidRPr="00893B05">
        <w:rPr>
          <w:rFonts w:asciiTheme="majorBidi" w:hAnsiTheme="majorBidi" w:cstheme="majorBidi"/>
          <w:lang w:val="id-ID"/>
        </w:rPr>
        <w:t xml:space="preserve">Tipologi Tripolar </w:t>
      </w:r>
      <w:bookmarkEnd w:id="2"/>
      <w:bookmarkEnd w:id="3"/>
      <w:bookmarkEnd w:id="4"/>
      <w:r w:rsidRPr="00893B05">
        <w:rPr>
          <w:rFonts w:asciiTheme="majorBidi" w:hAnsiTheme="majorBidi" w:cstheme="majorBidi"/>
          <w:lang w:val="id-ID"/>
        </w:rPr>
        <w:t>dan Perkembangannya</w:t>
      </w:r>
    </w:p>
    <w:p w14:paraId="42FFBEFE" w14:textId="6B549368" w:rsidR="0020469B" w:rsidRPr="00893B05" w:rsidRDefault="0020469B" w:rsidP="008012E2">
      <w:pPr>
        <w:pStyle w:val="KuriosKonten"/>
        <w:rPr>
          <w:rFonts w:asciiTheme="majorBidi" w:hAnsiTheme="majorBidi" w:cstheme="majorBidi"/>
          <w:lang w:val="id-ID"/>
        </w:rPr>
      </w:pPr>
      <w:r w:rsidRPr="00893B05">
        <w:rPr>
          <w:rFonts w:asciiTheme="majorBidi" w:hAnsiTheme="majorBidi" w:cstheme="majorBidi"/>
          <w:lang w:val="id-ID"/>
        </w:rPr>
        <w:t>Tipologi tripolar, yakni eksklusivisme, inklusivisme, dan pluralisme adalah pendekatan yang banyak digunakan untuk menjelaskan relasi agama-agama.</w:t>
      </w:r>
      <w:r w:rsidRPr="00893B05">
        <w:rPr>
          <w:rStyle w:val="FootnoteReference"/>
          <w:rFonts w:asciiTheme="majorBidi" w:hAnsiTheme="majorBidi" w:cstheme="majorBidi"/>
          <w:lang w:val="id-ID"/>
        </w:rPr>
        <w:footnoteReference w:id="12"/>
      </w:r>
      <w:r w:rsidRPr="00893B05">
        <w:rPr>
          <w:rFonts w:asciiTheme="majorBidi" w:hAnsiTheme="majorBidi" w:cstheme="majorBidi"/>
          <w:lang w:val="id-ID"/>
        </w:rPr>
        <w:t xml:space="preserve"> Pertama, eksklusivisme </w:t>
      </w:r>
      <w:r w:rsidRPr="00893B05">
        <w:rPr>
          <w:rFonts w:asciiTheme="majorBidi" w:hAnsiTheme="majorBidi" w:cstheme="majorBidi"/>
          <w:lang w:val="id-ID"/>
        </w:rPr>
        <w:lastRenderedPageBreak/>
        <w:t>adalah pandangan yang menekankan keutamaan dan keunggulan agama Kristen. Pandangan ini menyebutkan bahwa karena ketidakpercayaan agama-agama lain kepada Yesus sebagai Tuhan, maka sesungguhnya agama-agama tersebut adalah sesat. Di luar kekristenan tidak ada keselamatan. Dengan demikian, apabila seseorang ingin diselamatkan, maka ia harus menjadi seorang Kristen. Dalam perumusan eksklusivisme ini, Race banyak dipengaruhi oleh pandangan Barth, Brunner dan Kraemer</w:t>
      </w:r>
      <w:r w:rsidR="008012E2" w:rsidRPr="00893B05">
        <w:rPr>
          <w:rFonts w:asciiTheme="majorBidi" w:hAnsiTheme="majorBidi" w:cstheme="majorBidi"/>
          <w:lang w:val="id-ID"/>
        </w:rPr>
        <w:t>.</w:t>
      </w:r>
      <w:r w:rsidR="008012E2" w:rsidRPr="00893B05">
        <w:rPr>
          <w:rStyle w:val="FootnoteReference"/>
          <w:rFonts w:asciiTheme="majorBidi" w:hAnsiTheme="majorBidi" w:cstheme="majorBidi"/>
          <w:lang w:val="id-ID"/>
        </w:rPr>
        <w:footnoteReference w:id="13"/>
      </w:r>
    </w:p>
    <w:p w14:paraId="684EDD9B" w14:textId="4BDCF61A" w:rsidR="0020469B" w:rsidRPr="00893B05" w:rsidRDefault="0020469B" w:rsidP="0020469B">
      <w:pPr>
        <w:pStyle w:val="KuriosKonten"/>
        <w:rPr>
          <w:rFonts w:asciiTheme="majorBidi" w:hAnsiTheme="majorBidi" w:cstheme="majorBidi"/>
          <w:lang w:val="id-ID"/>
        </w:rPr>
      </w:pPr>
      <w:r w:rsidRPr="00893B05">
        <w:rPr>
          <w:rFonts w:asciiTheme="majorBidi" w:hAnsiTheme="majorBidi" w:cstheme="majorBidi"/>
          <w:lang w:val="id-ID"/>
        </w:rPr>
        <w:t>Kedua, inklusivisme adalah pandangan yang menerima sekaligus menolak agama lain sebagai pemilik kebenaran</w:t>
      </w:r>
      <w:r w:rsidR="009D6728" w:rsidRPr="00893B05">
        <w:rPr>
          <w:rFonts w:asciiTheme="majorBidi" w:hAnsiTheme="majorBidi" w:cstheme="majorBidi"/>
          <w:lang w:val="id-ID"/>
        </w:rPr>
        <w:t>.</w:t>
      </w:r>
      <w:r w:rsidR="009D6728" w:rsidRPr="00893B05">
        <w:rPr>
          <w:rStyle w:val="FootnoteReference"/>
          <w:rFonts w:asciiTheme="majorBidi" w:hAnsiTheme="majorBidi" w:cstheme="majorBidi"/>
          <w:lang w:val="id-ID"/>
        </w:rPr>
        <w:footnoteReference w:id="14"/>
      </w:r>
      <w:r w:rsidRPr="00893B05">
        <w:rPr>
          <w:rFonts w:asciiTheme="majorBidi" w:hAnsiTheme="majorBidi" w:cstheme="majorBidi"/>
          <w:lang w:val="id-ID"/>
        </w:rPr>
        <w:t xml:space="preserve"> Para teolog inklusivisme percaya bahwa kebenaran pun dapat ditemukan dalam agama-agama lain, hanya saja kebenaran yang ada pada agama lain tersebut tidak sempurna. Bagaimanapun juga agama Kristen adalah satu-satunya agama yang mengenal kebenaran sempurna. Dengan demikian, agama-agama lain harus belajar untuk mengenal Kristus</w:t>
      </w:r>
      <w:r w:rsidR="008012E2" w:rsidRPr="00893B05">
        <w:rPr>
          <w:rFonts w:asciiTheme="majorBidi" w:hAnsiTheme="majorBidi" w:cstheme="majorBidi"/>
          <w:lang w:val="id-ID"/>
        </w:rPr>
        <w:t>.</w:t>
      </w:r>
      <w:r w:rsidR="008012E2" w:rsidRPr="00893B05">
        <w:rPr>
          <w:rStyle w:val="FootnoteReference"/>
          <w:rFonts w:asciiTheme="majorBidi" w:hAnsiTheme="majorBidi" w:cstheme="majorBidi"/>
          <w:lang w:val="id-ID"/>
        </w:rPr>
        <w:footnoteReference w:id="15"/>
      </w:r>
      <w:r w:rsidRPr="00893B05">
        <w:rPr>
          <w:rFonts w:asciiTheme="majorBidi" w:hAnsiTheme="majorBidi" w:cstheme="majorBidi"/>
          <w:lang w:val="id-ID"/>
        </w:rPr>
        <w:t xml:space="preserve"> </w:t>
      </w:r>
    </w:p>
    <w:p w14:paraId="34987128" w14:textId="4B37F5FF" w:rsidR="0020469B" w:rsidRPr="00893B05" w:rsidRDefault="0020469B" w:rsidP="008012E2">
      <w:pPr>
        <w:pStyle w:val="KuriosKonten"/>
        <w:rPr>
          <w:rFonts w:asciiTheme="majorBidi" w:hAnsiTheme="majorBidi" w:cstheme="majorBidi"/>
          <w:lang w:val="id-ID"/>
        </w:rPr>
      </w:pPr>
      <w:r w:rsidRPr="00893B05">
        <w:rPr>
          <w:rFonts w:asciiTheme="majorBidi" w:hAnsiTheme="majorBidi" w:cstheme="majorBidi"/>
          <w:lang w:val="id-ID"/>
        </w:rPr>
        <w:t>Pendekatan ketiga adalah pluralisme yaitu pendekatan yang menjadikan toleransi sebagai ciri utamanya. Pandangan ini mengakui bahwa tidak ada agama yang memiliki pengetahuan yang sempurna tentang yang ilahi. Masing-masing agama hanya mengenal sang ilahi secara terbatas. Dengan demikian, pandangan ini menaruh hubungan antara agama sebagai hubungan yang setara. Malahan dalam pandangan ini dipercaya bahwa perjumpaan dengan agama lain menjadi suatu pencarian akan yang Ilahi yang saling memperkaya</w:t>
      </w:r>
      <w:r w:rsidR="008012E2" w:rsidRPr="00893B05">
        <w:rPr>
          <w:rFonts w:asciiTheme="majorBidi" w:hAnsiTheme="majorBidi" w:cstheme="majorBidi"/>
          <w:lang w:val="id-ID"/>
        </w:rPr>
        <w:t>.</w:t>
      </w:r>
      <w:r w:rsidR="008012E2" w:rsidRPr="00893B05">
        <w:rPr>
          <w:rStyle w:val="FootnoteReference"/>
          <w:rFonts w:asciiTheme="majorBidi" w:hAnsiTheme="majorBidi" w:cstheme="majorBidi"/>
          <w:lang w:val="id-ID"/>
        </w:rPr>
        <w:footnoteReference w:id="16"/>
      </w:r>
      <w:r w:rsidRPr="00893B05">
        <w:rPr>
          <w:rFonts w:asciiTheme="majorBidi" w:hAnsiTheme="majorBidi" w:cstheme="majorBidi"/>
          <w:lang w:val="id-ID"/>
        </w:rPr>
        <w:t xml:space="preserve"> </w:t>
      </w:r>
    </w:p>
    <w:p w14:paraId="0D32A32B" w14:textId="7DF8CA39" w:rsidR="0020469B" w:rsidRPr="00893B05" w:rsidRDefault="0020469B" w:rsidP="009D6728">
      <w:pPr>
        <w:pStyle w:val="KuriosKonten"/>
        <w:rPr>
          <w:rFonts w:asciiTheme="majorBidi" w:hAnsiTheme="majorBidi" w:cstheme="majorBidi"/>
          <w:lang w:val="id-ID"/>
        </w:rPr>
      </w:pPr>
      <w:r w:rsidRPr="00893B05">
        <w:rPr>
          <w:rFonts w:asciiTheme="majorBidi" w:hAnsiTheme="majorBidi" w:cstheme="majorBidi"/>
          <w:lang w:val="id-ID"/>
        </w:rPr>
        <w:t>Dalam diskursus teologi agama-agama, tipologi tripolar banyak mendapat kritik dan dipandang tidak memadai sebagai sarana untuk menjembatani relasi kekristenan dengan agama lain. Sehubungan dengan hal tersebut, banyak pendekatan-pendekatan yang kemudian berkembang, baik itu dengan memberikan pemaknaan baru terhadap tipologi tripolar maupun yang memang sama sekali berbeda dari tipologi tripolar.</w:t>
      </w:r>
      <w:r w:rsidR="009D6728" w:rsidRPr="00893B05">
        <w:rPr>
          <w:rStyle w:val="FootnoteReference"/>
          <w:rFonts w:asciiTheme="majorBidi" w:hAnsiTheme="majorBidi" w:cstheme="majorBidi"/>
          <w:lang w:val="id-ID"/>
        </w:rPr>
        <w:footnoteReference w:id="17"/>
      </w:r>
      <w:r w:rsidRPr="00893B05">
        <w:rPr>
          <w:rFonts w:asciiTheme="majorBidi" w:hAnsiTheme="majorBidi" w:cstheme="majorBidi"/>
          <w:lang w:val="id-ID"/>
        </w:rPr>
        <w:t xml:space="preserve"> </w:t>
      </w:r>
    </w:p>
    <w:p w14:paraId="0409F628" w14:textId="77777777" w:rsidR="0020469B" w:rsidRPr="00893B05" w:rsidRDefault="0020469B" w:rsidP="0020469B">
      <w:pPr>
        <w:pStyle w:val="KuriosKonten"/>
        <w:rPr>
          <w:rFonts w:asciiTheme="majorBidi" w:hAnsiTheme="majorBidi" w:cstheme="majorBidi"/>
          <w:lang w:val="id-ID"/>
        </w:rPr>
      </w:pPr>
    </w:p>
    <w:p w14:paraId="0D35110F" w14:textId="553E6233" w:rsidR="0020469B" w:rsidRPr="00893B05" w:rsidRDefault="009D6728" w:rsidP="00AC64E6">
      <w:pPr>
        <w:pStyle w:val="KuriosSubjudul"/>
        <w:rPr>
          <w:lang w:val="id-ID"/>
        </w:rPr>
      </w:pPr>
      <w:bookmarkStart w:id="5" w:name="_Toc40440091"/>
      <w:bookmarkStart w:id="6" w:name="_Toc40710598"/>
      <w:bookmarkStart w:id="7" w:name="_Toc41642747"/>
      <w:r w:rsidRPr="00893B05">
        <w:rPr>
          <w:lang w:val="id-ID"/>
        </w:rPr>
        <w:t>Pendekatan Trinitarian untuk Teologi Agama-agama</w:t>
      </w:r>
      <w:bookmarkEnd w:id="5"/>
      <w:bookmarkEnd w:id="6"/>
      <w:bookmarkEnd w:id="7"/>
    </w:p>
    <w:p w14:paraId="1F2D004D" w14:textId="45BE1A37" w:rsidR="00262016" w:rsidRPr="00893B05" w:rsidRDefault="00AC64E6" w:rsidP="00262016">
      <w:pPr>
        <w:pStyle w:val="KuriosKonten"/>
        <w:rPr>
          <w:lang w:val="id-ID"/>
        </w:rPr>
      </w:pPr>
      <w:r w:rsidRPr="00893B05">
        <w:rPr>
          <w:lang w:val="id-ID"/>
        </w:rPr>
        <w:t xml:space="preserve">Tulisan </w:t>
      </w:r>
      <w:r w:rsidR="00262016" w:rsidRPr="00893B05">
        <w:rPr>
          <w:lang w:val="id-ID"/>
        </w:rPr>
        <w:t xml:space="preserve">ini menggunakan pandangan Veli-Matti Kärkkäinen yang merupakan seorang profesor teologi sistematik di </w:t>
      </w:r>
      <w:r w:rsidR="00262016" w:rsidRPr="00893B05">
        <w:rPr>
          <w:iCs/>
          <w:lang w:val="id-ID"/>
        </w:rPr>
        <w:t>Fuller Theological Seminary</w:t>
      </w:r>
      <w:r w:rsidR="00262016" w:rsidRPr="00893B05">
        <w:rPr>
          <w:i/>
          <w:lang w:val="id-ID"/>
        </w:rPr>
        <w:t xml:space="preserve">. </w:t>
      </w:r>
      <w:r w:rsidR="00262016" w:rsidRPr="00893B05">
        <w:rPr>
          <w:lang w:val="id-ID"/>
        </w:rPr>
        <w:t>Dia lahir di Finlandia namun pernah juga tinggal dan mengajar sebagai profesor di perguruan tinggi Thailand</w:t>
      </w:r>
      <w:r w:rsidR="00792523" w:rsidRPr="00893B05">
        <w:rPr>
          <w:lang w:val="id-ID"/>
        </w:rPr>
        <w:t>.</w:t>
      </w:r>
      <w:r w:rsidR="00792523" w:rsidRPr="00893B05">
        <w:rPr>
          <w:rStyle w:val="FootnoteReference"/>
          <w:lang w:val="id-ID"/>
        </w:rPr>
        <w:footnoteReference w:id="18"/>
      </w:r>
      <w:r w:rsidR="00262016" w:rsidRPr="00893B05">
        <w:rPr>
          <w:lang w:val="id-ID"/>
        </w:rPr>
        <w:t xml:space="preserve"> Hal ini menunjukkan bahwa Kärkkäinen tidak asing dengan keberagaman yang terjadi di Asia. Dia bahkan mahir berbahasa Thai. Kemahiran ini menunjukkan bahwa dia terlibat atau melihat dan berada langsung di tengah konteks Asia secara khusus Thailand. Keterlibatan ini memungkinkannya untuk memberikan teori yang sesuai dengan konteks Asia, termasuk Indonesia. </w:t>
      </w:r>
    </w:p>
    <w:p w14:paraId="1C715CEC" w14:textId="01DD2F3E" w:rsidR="00262016" w:rsidRPr="00893B05" w:rsidRDefault="00262016" w:rsidP="00262016">
      <w:pPr>
        <w:pStyle w:val="KuriosKonten"/>
        <w:rPr>
          <w:lang w:val="id-ID"/>
        </w:rPr>
      </w:pPr>
      <w:r w:rsidRPr="00893B05">
        <w:rPr>
          <w:lang w:val="id-ID"/>
        </w:rPr>
        <w:t xml:space="preserve">Kärkkäinen menulis pemahaman teologis tentang semua bidang utama doktrin Kristen secara berkelanjutan. Pemahaman teologis ini dituliskan dalam buku yang berjudul </w:t>
      </w:r>
      <w:r w:rsidRPr="00893B05">
        <w:rPr>
          <w:i/>
          <w:lang w:val="id-ID"/>
        </w:rPr>
        <w:t>Christ and Reconciliation</w:t>
      </w:r>
      <w:r w:rsidRPr="00893B05">
        <w:rPr>
          <w:lang w:val="id-ID"/>
        </w:rPr>
        <w:t xml:space="preserve"> (volume 1), </w:t>
      </w:r>
      <w:r w:rsidRPr="00893B05">
        <w:rPr>
          <w:i/>
          <w:lang w:val="id-ID"/>
        </w:rPr>
        <w:t>Trinity and Revelation</w:t>
      </w:r>
      <w:r w:rsidRPr="00893B05">
        <w:rPr>
          <w:lang w:val="id-ID"/>
        </w:rPr>
        <w:t xml:space="preserve"> (volume 2), </w:t>
      </w:r>
      <w:r w:rsidRPr="00893B05">
        <w:rPr>
          <w:i/>
          <w:lang w:val="id-ID"/>
        </w:rPr>
        <w:t>Creation and Humanity</w:t>
      </w:r>
      <w:r w:rsidRPr="00893B05">
        <w:rPr>
          <w:lang w:val="id-ID"/>
        </w:rPr>
        <w:t xml:space="preserve"> (volume 3), </w:t>
      </w:r>
      <w:r w:rsidRPr="00893B05">
        <w:rPr>
          <w:i/>
          <w:lang w:val="id-ID"/>
        </w:rPr>
        <w:t>Spirit and Salvation</w:t>
      </w:r>
      <w:r w:rsidRPr="00893B05">
        <w:rPr>
          <w:lang w:val="id-ID"/>
        </w:rPr>
        <w:t xml:space="preserve"> (volume 4), </w:t>
      </w:r>
      <w:r w:rsidRPr="00893B05">
        <w:rPr>
          <w:i/>
          <w:lang w:val="id-ID"/>
        </w:rPr>
        <w:t>Hope and Community</w:t>
      </w:r>
      <w:r w:rsidRPr="00893B05">
        <w:rPr>
          <w:lang w:val="id-ID"/>
        </w:rPr>
        <w:t xml:space="preserve"> (volume 5). Penulisan dari tema-tema besar itu memiliki keterhubungan satu dengan yang lain</w:t>
      </w:r>
      <w:r w:rsidR="00792523" w:rsidRPr="00893B05">
        <w:rPr>
          <w:lang w:val="id-ID"/>
        </w:rPr>
        <w:t>.</w:t>
      </w:r>
      <w:r w:rsidR="00792523" w:rsidRPr="00893B05">
        <w:rPr>
          <w:rStyle w:val="FootnoteReference"/>
          <w:lang w:val="id-ID"/>
        </w:rPr>
        <w:footnoteReference w:id="19"/>
      </w:r>
      <w:r w:rsidRPr="00893B05">
        <w:rPr>
          <w:lang w:val="id-ID"/>
        </w:rPr>
        <w:t xml:space="preserve"> Penulis menemukan konsistensi tulisan Kärkkäinen yang fokus dengan ajaran-ajaran utama Kristen dengan menjadikan keberagaman sebagai konteks. </w:t>
      </w:r>
    </w:p>
    <w:p w14:paraId="44068022" w14:textId="3E06DDC3" w:rsidR="00262016" w:rsidRPr="00893B05" w:rsidRDefault="00262016" w:rsidP="00262016">
      <w:pPr>
        <w:pStyle w:val="KuriosKonten"/>
        <w:rPr>
          <w:lang w:val="id-ID"/>
        </w:rPr>
      </w:pPr>
      <w:r w:rsidRPr="00893B05">
        <w:rPr>
          <w:lang w:val="id-ID"/>
        </w:rPr>
        <w:t xml:space="preserve">Teologi Kärkkäinen dipengaruhi oleh Lutheran dan Pentakosta. Dia bahkan menyebut dirinya sebagai “Lutherocostal,” untuk menggambarkan pengaruh Lutheran dan Pentakostal dalam dirinya. Dia lahir dan bertumbuh dalam keluarga Lutheran yang juga menemukan </w:t>
      </w:r>
      <w:r w:rsidRPr="00893B05">
        <w:rPr>
          <w:i/>
          <w:lang w:val="id-ID"/>
        </w:rPr>
        <w:t xml:space="preserve">rumah spiritual </w:t>
      </w:r>
      <w:r w:rsidRPr="00893B05">
        <w:rPr>
          <w:lang w:val="id-ID"/>
        </w:rPr>
        <w:t>di dalam Pentakosta tetapi tidak pernah meninggalkan Lutheran. Kemudian, setelah ia dipanggil oleh uskup Gereja Lutheran untuk bekerja di Texas, akhirnya dia ditahbiskan di Gereja Lutheran</w:t>
      </w:r>
      <w:r w:rsidR="00792523" w:rsidRPr="00893B05">
        <w:rPr>
          <w:lang w:val="id-ID"/>
        </w:rPr>
        <w:t>.</w:t>
      </w:r>
    </w:p>
    <w:p w14:paraId="681E7E4A" w14:textId="29A5EA76" w:rsidR="00262016" w:rsidRPr="00893B05" w:rsidRDefault="00262016" w:rsidP="00262016">
      <w:pPr>
        <w:pStyle w:val="KuriosKonten"/>
        <w:rPr>
          <w:lang w:val="id-ID"/>
        </w:rPr>
      </w:pPr>
      <w:r w:rsidRPr="00893B05">
        <w:rPr>
          <w:lang w:val="id-ID"/>
        </w:rPr>
        <w:t xml:space="preserve">Realitas keberagaman membuat pertemuan antarumat beragama tidak terhindarkan. Sebagaimana dikatakan oleh Kärkkäinen “Other religions, which used to be distant, exotic </w:t>
      </w:r>
      <w:r w:rsidRPr="00893B05">
        <w:rPr>
          <w:lang w:val="id-ID"/>
        </w:rPr>
        <w:lastRenderedPageBreak/>
        <w:t>topics for enjoyable conversation, if not a vague reality that could be totally ignored, have come much closer to us whether we live in the West or elsewhere</w:t>
      </w:r>
      <w:r w:rsidR="00792523" w:rsidRPr="00893B05">
        <w:rPr>
          <w:lang w:val="id-ID"/>
        </w:rPr>
        <w:t>.</w:t>
      </w:r>
      <w:r w:rsidRPr="00893B05">
        <w:rPr>
          <w:lang w:val="id-ID"/>
        </w:rPr>
        <w:t>”</w:t>
      </w:r>
      <w:r w:rsidR="00792523" w:rsidRPr="00893B05">
        <w:rPr>
          <w:rStyle w:val="FootnoteReference"/>
          <w:lang w:val="id-ID"/>
        </w:rPr>
        <w:footnoteReference w:id="20"/>
      </w:r>
      <w:r w:rsidRPr="00893B05">
        <w:rPr>
          <w:lang w:val="id-ID"/>
        </w:rPr>
        <w:t xml:space="preserve"> Agama lain telah menjadi lebih dekat dengan setiap orang di mana saja baik yang tinggal di Barat atau di Timur. Komunitas agama akan bertemu dengan agama lain dalam kehidupan sehari-hari. </w:t>
      </w:r>
    </w:p>
    <w:p w14:paraId="74DFC75A" w14:textId="31CED3D0" w:rsidR="00262016" w:rsidRPr="00893B05" w:rsidRDefault="00262016" w:rsidP="00262016">
      <w:pPr>
        <w:pStyle w:val="KuriosKonten"/>
        <w:rPr>
          <w:lang w:val="id-ID"/>
        </w:rPr>
      </w:pPr>
      <w:r w:rsidRPr="00893B05">
        <w:rPr>
          <w:lang w:val="id-ID"/>
        </w:rPr>
        <w:t>Pembahasan teologi agama-agama untuk merespons keberagaman, menurut Kärkkäinen, mulai menghasilkan banyak buku-buku yang memaparkan isu keberagaman sejak tahun 1970-an khususnya pada tahun 1990-an. Pembahasan itu kian berlanjut sampai pada masa kita sekarang, dan kekristenan diundang untuk mengambil bagian dalam realitas tersebut</w:t>
      </w:r>
      <w:r w:rsidR="00792523" w:rsidRPr="00893B05">
        <w:rPr>
          <w:lang w:val="id-ID"/>
        </w:rPr>
        <w:t>.</w:t>
      </w:r>
      <w:r w:rsidR="00792523" w:rsidRPr="00893B05">
        <w:rPr>
          <w:rStyle w:val="FootnoteReference"/>
          <w:lang w:val="id-ID"/>
        </w:rPr>
        <w:footnoteReference w:id="21"/>
      </w:r>
      <w:r w:rsidRPr="00893B05">
        <w:rPr>
          <w:lang w:val="id-ID"/>
        </w:rPr>
        <w:t xml:space="preserve"> </w:t>
      </w:r>
    </w:p>
    <w:p w14:paraId="446ACF4C" w14:textId="37F2C337" w:rsidR="00AC64E6" w:rsidRPr="00893B05" w:rsidRDefault="00AC64E6" w:rsidP="00AC64E6">
      <w:pPr>
        <w:pStyle w:val="KuriosKonten"/>
        <w:rPr>
          <w:lang w:val="id-ID"/>
        </w:rPr>
      </w:pPr>
      <w:r w:rsidRPr="00893B05">
        <w:rPr>
          <w:lang w:val="id-ID"/>
        </w:rPr>
        <w:t>Kärkkäinen menjelaskan bahwa p</w:t>
      </w:r>
      <w:r w:rsidR="00262016" w:rsidRPr="00893B05">
        <w:rPr>
          <w:lang w:val="id-ID"/>
        </w:rPr>
        <w:t>engenalan tentang Allah yang disembah oleh agama Kristen tidak dapat dipisahkan antara Bapa, Anak dan Roh. Pribadi Trinitas harus selalu dipahami dalam persekutuannya</w:t>
      </w:r>
      <w:r w:rsidR="00792523" w:rsidRPr="00893B05">
        <w:rPr>
          <w:lang w:val="id-ID"/>
        </w:rPr>
        <w:t>.</w:t>
      </w:r>
      <w:r w:rsidR="00792523" w:rsidRPr="00893B05">
        <w:rPr>
          <w:rStyle w:val="FootnoteReference"/>
          <w:lang w:val="id-ID"/>
        </w:rPr>
        <w:footnoteReference w:id="22"/>
      </w:r>
      <w:r w:rsidR="00262016" w:rsidRPr="00893B05">
        <w:rPr>
          <w:lang w:val="id-ID"/>
        </w:rPr>
        <w:t xml:space="preserve"> </w:t>
      </w:r>
      <w:r w:rsidRPr="00893B05">
        <w:rPr>
          <w:lang w:val="id-ID"/>
        </w:rPr>
        <w:t xml:space="preserve">Karena itu segala usaha berteologi harusnya berangkat dari perspektif trinitarian. </w:t>
      </w:r>
      <w:r w:rsidR="00262016" w:rsidRPr="00893B05">
        <w:rPr>
          <w:lang w:val="id-ID"/>
        </w:rPr>
        <w:t xml:space="preserve">Pendekatan trinitarian pneumatologis </w:t>
      </w:r>
      <w:r w:rsidRPr="00893B05">
        <w:rPr>
          <w:lang w:val="id-ID"/>
        </w:rPr>
        <w:t xml:space="preserve">adalah melihat karya Roh Kudus </w:t>
      </w:r>
      <w:r w:rsidR="00262016" w:rsidRPr="00893B05">
        <w:rPr>
          <w:lang w:val="id-ID"/>
        </w:rPr>
        <w:t>dalam kerangka trinitarian.</w:t>
      </w:r>
      <w:r w:rsidR="00792523" w:rsidRPr="00893B05">
        <w:rPr>
          <w:rStyle w:val="FootnoteReference"/>
          <w:lang w:val="id-ID"/>
        </w:rPr>
        <w:footnoteReference w:id="23"/>
      </w:r>
      <w:r w:rsidR="00262016" w:rsidRPr="00893B05">
        <w:rPr>
          <w:lang w:val="id-ID"/>
        </w:rPr>
        <w:t xml:space="preserve"> </w:t>
      </w:r>
    </w:p>
    <w:p w14:paraId="02F60A78" w14:textId="77777777" w:rsidR="00AC64E6" w:rsidRPr="00893B05" w:rsidRDefault="00AC64E6" w:rsidP="00AC64E6">
      <w:pPr>
        <w:pStyle w:val="KuriosSubjudul"/>
        <w:rPr>
          <w:lang w:val="id-ID"/>
        </w:rPr>
      </w:pPr>
      <w:r w:rsidRPr="00893B05">
        <w:rPr>
          <w:lang w:val="id-ID"/>
        </w:rPr>
        <w:t>Doktrin Trinitas</w:t>
      </w:r>
      <w:r w:rsidRPr="00893B05">
        <w:rPr>
          <w:rStyle w:val="FootnoteReference"/>
          <w:rFonts w:asciiTheme="majorBidi" w:hAnsiTheme="majorBidi" w:cstheme="majorBidi"/>
          <w:lang w:val="id-ID"/>
        </w:rPr>
        <w:footnoteReference w:id="24"/>
      </w:r>
      <w:r w:rsidRPr="00893B05">
        <w:rPr>
          <w:lang w:val="id-ID"/>
        </w:rPr>
        <w:t xml:space="preserve"> </w:t>
      </w:r>
    </w:p>
    <w:p w14:paraId="4EBB0954" w14:textId="5C14C7C4" w:rsidR="00AC64E6" w:rsidRPr="00893B05" w:rsidRDefault="00AC64E6" w:rsidP="00F004EE">
      <w:pPr>
        <w:pStyle w:val="KuriosKonten"/>
        <w:rPr>
          <w:rFonts w:asciiTheme="majorBidi" w:hAnsiTheme="majorBidi" w:cstheme="majorBidi"/>
          <w:lang w:val="id-ID"/>
        </w:rPr>
      </w:pPr>
      <w:r w:rsidRPr="00893B05">
        <w:rPr>
          <w:rFonts w:asciiTheme="majorBidi" w:hAnsiTheme="majorBidi" w:cstheme="majorBidi"/>
          <w:lang w:val="id-ID"/>
        </w:rPr>
        <w:t>Doktrin Trinitas menjadi salah satu doktrin yang problematik bagi agama-agama lain dalam memahami konsep monoteisme kekristenan. Pemahaman yang komprehensif mengenai relasi Bapa, Anak, dan Roh Kudus penting untuk dijelaskan agar kita tidak jatuh ke dalam pemahaman triteisme. Triteisme memberikan pengajaran dengan mengorbankan kesatuan identitas vital Bapa, Anak, dan Roh Kudus. Tetapi kita juga tidak mau mengorbankan keberagaman pribadi ilahi demi kesatuan Trinitas.</w:t>
      </w:r>
      <w:r w:rsidRPr="00893B05">
        <w:rPr>
          <w:rStyle w:val="FootnoteReference"/>
          <w:rFonts w:asciiTheme="majorBidi" w:hAnsiTheme="majorBidi" w:cstheme="majorBidi"/>
          <w:lang w:val="id-ID"/>
        </w:rPr>
        <w:footnoteReference w:id="25"/>
      </w:r>
      <w:r w:rsidRPr="00893B05">
        <w:rPr>
          <w:rFonts w:asciiTheme="majorBidi" w:hAnsiTheme="majorBidi" w:cstheme="majorBidi"/>
          <w:lang w:val="id-ID"/>
        </w:rPr>
        <w:t xml:space="preserve"> </w:t>
      </w:r>
    </w:p>
    <w:p w14:paraId="7861BDBE" w14:textId="77777777" w:rsidR="00AC64E6" w:rsidRPr="00893B05" w:rsidRDefault="00AC64E6" w:rsidP="00AC64E6">
      <w:pPr>
        <w:pStyle w:val="KuriosKonten"/>
        <w:rPr>
          <w:rFonts w:asciiTheme="majorBidi" w:hAnsiTheme="majorBidi" w:cstheme="majorBidi"/>
          <w:lang w:val="id-ID"/>
        </w:rPr>
      </w:pPr>
      <w:r w:rsidRPr="00893B05">
        <w:rPr>
          <w:rFonts w:asciiTheme="majorBidi" w:hAnsiTheme="majorBidi" w:cstheme="majorBidi"/>
          <w:lang w:val="id-ID"/>
        </w:rPr>
        <w:t>Tertulianus, seorang bapa gereja Latin merupakan orang pertama yang menerapkan</w:t>
      </w:r>
      <w:r w:rsidRPr="00893B05">
        <w:rPr>
          <w:rFonts w:asciiTheme="majorBidi" w:hAnsiTheme="majorBidi" w:cstheme="majorBidi"/>
          <w:bCs/>
          <w:spacing w:val="-8"/>
          <w:kern w:val="36"/>
          <w:lang w:val="id-ID"/>
        </w:rPr>
        <w:t xml:space="preserve"> ide tentang Tuhan sebagai satu substansi (</w:t>
      </w:r>
      <w:r w:rsidRPr="00893B05">
        <w:rPr>
          <w:rFonts w:asciiTheme="majorBidi" w:hAnsiTheme="majorBidi" w:cstheme="majorBidi"/>
          <w:bCs/>
          <w:i/>
          <w:spacing w:val="-8"/>
          <w:kern w:val="36"/>
          <w:lang w:val="id-ID"/>
        </w:rPr>
        <w:t xml:space="preserve">substantia)  </w:t>
      </w:r>
      <w:r w:rsidRPr="00893B05">
        <w:rPr>
          <w:rFonts w:asciiTheme="majorBidi" w:hAnsiTheme="majorBidi" w:cstheme="majorBidi"/>
          <w:bCs/>
          <w:spacing w:val="-8"/>
          <w:kern w:val="36"/>
          <w:lang w:val="id-ID"/>
        </w:rPr>
        <w:t>dan tiga pribadi yang berbeda (</w:t>
      </w:r>
      <w:r w:rsidRPr="00893B05">
        <w:rPr>
          <w:rFonts w:asciiTheme="majorBidi" w:hAnsiTheme="majorBidi" w:cstheme="majorBidi"/>
          <w:bCs/>
          <w:i/>
          <w:spacing w:val="-8"/>
          <w:kern w:val="36"/>
          <w:lang w:val="id-ID"/>
        </w:rPr>
        <w:t>personae</w:t>
      </w:r>
      <w:r w:rsidRPr="00893B05">
        <w:rPr>
          <w:rFonts w:asciiTheme="majorBidi" w:hAnsiTheme="majorBidi" w:cstheme="majorBidi"/>
          <w:bCs/>
          <w:spacing w:val="-8"/>
          <w:kern w:val="36"/>
          <w:lang w:val="id-ID"/>
        </w:rPr>
        <w:t xml:space="preserve">). Dalam teologi berbahasa Yunani khususnya di bawah kepemimpinan Athanasius dan ketiga Bapa Kapadokia (Basil, Gregorius Nazianzus dan Gregorius Nyssa), materi formula Trinitarian yang sama diungkapkan dalam istilah  </w:t>
      </w:r>
      <w:r w:rsidRPr="00893B05">
        <w:rPr>
          <w:rFonts w:asciiTheme="majorBidi" w:hAnsiTheme="majorBidi" w:cstheme="majorBidi"/>
          <w:bCs/>
          <w:i/>
          <w:spacing w:val="-8"/>
          <w:kern w:val="36"/>
          <w:lang w:val="id-ID"/>
        </w:rPr>
        <w:t xml:space="preserve">mia ousia-treis hypostaseis, </w:t>
      </w:r>
      <w:r w:rsidRPr="00893B05">
        <w:rPr>
          <w:rFonts w:asciiTheme="majorBidi" w:hAnsiTheme="majorBidi" w:cstheme="majorBidi"/>
          <w:bCs/>
          <w:spacing w:val="-8"/>
          <w:kern w:val="36"/>
          <w:lang w:val="id-ID"/>
        </w:rPr>
        <w:t xml:space="preserve">yang berarti satu esensi tiga pribadi. </w:t>
      </w:r>
      <w:r w:rsidRPr="00893B05">
        <w:rPr>
          <w:rFonts w:asciiTheme="majorBidi" w:hAnsiTheme="majorBidi" w:cstheme="majorBidi"/>
          <w:lang w:val="id-ID"/>
        </w:rPr>
        <w:lastRenderedPageBreak/>
        <w:t>Pengajaran Tertulianus bertujuan untuk  menentang monarki dan triteisme.</w:t>
      </w:r>
      <w:r w:rsidRPr="00893B05">
        <w:rPr>
          <w:rStyle w:val="FootnoteReference"/>
          <w:rFonts w:asciiTheme="majorBidi" w:hAnsiTheme="majorBidi" w:cstheme="majorBidi"/>
          <w:lang w:val="id-ID"/>
        </w:rPr>
        <w:footnoteReference w:id="26"/>
      </w:r>
      <w:r w:rsidRPr="00893B05">
        <w:rPr>
          <w:rFonts w:asciiTheme="majorBidi" w:hAnsiTheme="majorBidi" w:cstheme="majorBidi"/>
          <w:lang w:val="id-ID"/>
        </w:rPr>
        <w:t xml:space="preserve"> Sehubungan dengan pemakaian kata </w:t>
      </w:r>
      <w:r w:rsidRPr="00893B05">
        <w:rPr>
          <w:rFonts w:asciiTheme="majorBidi" w:hAnsiTheme="majorBidi" w:cstheme="majorBidi"/>
          <w:i/>
          <w:lang w:val="id-ID"/>
        </w:rPr>
        <w:t xml:space="preserve">personae </w:t>
      </w:r>
      <w:r w:rsidRPr="00893B05">
        <w:rPr>
          <w:rFonts w:asciiTheme="majorBidi" w:hAnsiTheme="majorBidi" w:cstheme="majorBidi"/>
          <w:lang w:val="id-ID"/>
        </w:rPr>
        <w:t>pada ajaran Trinitas, Tertulianus mengatakan meskipun ada tiga pribadi, ketiganya adalah manifestasi dari kekuatan tunggal yang tidak terpisahkan. Bapa, Anak dan Roh adalah tiga pribadi yang tidak mengalami pembagian atau pemisahan. Sebagaimana cahaya yang tidak dapat terpisahkan dari matahari. Bapa, Anak dan Roh adalah tiga pribadi dalam satu substansi keilahian.</w:t>
      </w:r>
      <w:r w:rsidRPr="00893B05">
        <w:rPr>
          <w:rStyle w:val="FootnoteReference"/>
          <w:rFonts w:asciiTheme="majorBidi" w:hAnsiTheme="majorBidi" w:cstheme="majorBidi"/>
          <w:lang w:val="id-ID"/>
        </w:rPr>
        <w:footnoteReference w:id="27"/>
      </w:r>
      <w:r w:rsidRPr="00893B05">
        <w:rPr>
          <w:rFonts w:asciiTheme="majorBidi" w:hAnsiTheme="majorBidi" w:cstheme="majorBidi"/>
          <w:lang w:val="id-ID"/>
        </w:rPr>
        <w:t xml:space="preserve"> </w:t>
      </w:r>
    </w:p>
    <w:p w14:paraId="58B9273F" w14:textId="77777777" w:rsidR="00AC64E6" w:rsidRPr="00893B05" w:rsidRDefault="00AC64E6" w:rsidP="00AC64E6">
      <w:pPr>
        <w:pStyle w:val="KuriosKonten"/>
        <w:rPr>
          <w:rFonts w:asciiTheme="majorBidi" w:hAnsiTheme="majorBidi" w:cstheme="majorBidi"/>
          <w:lang w:val="id-ID"/>
        </w:rPr>
      </w:pPr>
      <w:r w:rsidRPr="00893B05">
        <w:rPr>
          <w:rFonts w:asciiTheme="majorBidi" w:hAnsiTheme="majorBidi" w:cstheme="majorBidi"/>
          <w:lang w:val="id-ID"/>
        </w:rPr>
        <w:t xml:space="preserve"> Tertulianus menolak keras triteisme dan monarki.</w:t>
      </w:r>
      <w:r w:rsidRPr="00893B05">
        <w:rPr>
          <w:rStyle w:val="FootnoteReference"/>
          <w:rFonts w:asciiTheme="majorBidi" w:hAnsiTheme="majorBidi" w:cstheme="majorBidi"/>
          <w:lang w:val="id-ID"/>
        </w:rPr>
        <w:footnoteReference w:id="28"/>
      </w:r>
      <w:r w:rsidRPr="00893B05">
        <w:rPr>
          <w:rFonts w:asciiTheme="majorBidi" w:hAnsiTheme="majorBidi" w:cstheme="majorBidi"/>
          <w:lang w:val="id-ID"/>
        </w:rPr>
        <w:t xml:space="preserve"> Monarki adalah ajaran yang menekankan “kedaulatan tunggal Allah” dengan menolak ketuhanan Yesus.  Monarki terdiri dari dua bagian yaitu monarki dinamis dan modalistis. Monarki dinamis adalah ajaran yang mempertahankan kedaulatan tunggal Bapa dengan mengusulkan gagasan bahwa Allah dinamis hadir dalam Yesus dan Bapa membuat Yesus lebih tinggi dari manusia lainnya tetapi Yesus bukan Tuhan. Monarki modalistis menunjukkan kedaulatan Allah dengan melihat tiga pribadi Trinitas bukan sebagai “pribadi” mandiri tetapi sebagai “mode” atau “nama” lain dari Allah yang sama. Bapa, Anak, dan Roh tidak memiliki perbedaan nyata, mereka bertiga hanya cara Allah yang berbeda dan ditunjukkan dalam waktu yang berbeda pula.</w:t>
      </w:r>
      <w:r w:rsidRPr="00893B05">
        <w:rPr>
          <w:rStyle w:val="FootnoteReference"/>
          <w:rFonts w:asciiTheme="majorBidi" w:hAnsiTheme="majorBidi" w:cstheme="majorBidi"/>
          <w:lang w:val="id-ID"/>
        </w:rPr>
        <w:footnoteReference w:id="29"/>
      </w:r>
      <w:r w:rsidRPr="00893B05">
        <w:rPr>
          <w:rFonts w:asciiTheme="majorBidi" w:hAnsiTheme="majorBidi" w:cstheme="majorBidi"/>
          <w:lang w:val="id-ID"/>
        </w:rPr>
        <w:t xml:space="preserve"> </w:t>
      </w:r>
    </w:p>
    <w:p w14:paraId="352EB4D4" w14:textId="77777777" w:rsidR="00AC64E6" w:rsidRPr="00893B05" w:rsidRDefault="00AC64E6" w:rsidP="00AC64E6">
      <w:pPr>
        <w:pStyle w:val="KuriosKonten"/>
        <w:rPr>
          <w:rFonts w:asciiTheme="majorBidi" w:hAnsiTheme="majorBidi" w:cstheme="majorBidi"/>
          <w:lang w:val="id-ID"/>
        </w:rPr>
      </w:pPr>
      <w:r w:rsidRPr="00893B05">
        <w:rPr>
          <w:rFonts w:asciiTheme="majorBidi" w:hAnsiTheme="majorBidi" w:cstheme="majorBidi"/>
          <w:lang w:val="id-ID"/>
        </w:rPr>
        <w:t xml:space="preserve">Secara umum dalam penafsiran tradisional, persatuan Allah Trinitas dimulai dengan kesatuan Allah untuk membentuk ketigaan. Namun, dalam teologi kontemporer, kesatuan menemukan banyak tantangan. Salah satunya berawal dari pengakuan Gereja Kekaisaran Romawi Kristiani yang akhirnya mengakui ketuhanan Yesus dan pengalaman Roh Kudus. </w:t>
      </w:r>
    </w:p>
    <w:p w14:paraId="5BDC0819" w14:textId="77777777" w:rsidR="00AC64E6" w:rsidRPr="00893B05" w:rsidRDefault="00AC64E6" w:rsidP="00AC64E6">
      <w:pPr>
        <w:pStyle w:val="KuriosKonten"/>
        <w:rPr>
          <w:rFonts w:asciiTheme="majorBidi" w:hAnsiTheme="majorBidi" w:cstheme="majorBidi"/>
          <w:lang w:val="id-ID"/>
        </w:rPr>
      </w:pPr>
      <w:r w:rsidRPr="00893B05">
        <w:rPr>
          <w:rFonts w:asciiTheme="majorBidi" w:hAnsiTheme="majorBidi" w:cstheme="majorBidi"/>
          <w:lang w:val="id-ID"/>
        </w:rPr>
        <w:t xml:space="preserve">Ketuhanan Yesus mulai mendapat perhatian dalam perbincangan teolog Kristen dengan merujuk pada kebangkitan Yesus. Peristiwa tersebut menjadi poin awal munculnya trinitarian dari kristologi primitif. Kebangkitan Yesus dilihat sebagai konfirmasi ilahi dari klaim yang tersirat dalam pelayanan Yesus di bumi. Yesus tampil di bumi sebagai Anak Bapa yang </w:t>
      </w:r>
      <w:r w:rsidRPr="00893B05">
        <w:rPr>
          <w:rFonts w:asciiTheme="majorBidi" w:hAnsiTheme="majorBidi" w:cstheme="majorBidi"/>
          <w:lang w:val="id-ID"/>
        </w:rPr>
        <w:lastRenderedPageBreak/>
        <w:t xml:space="preserve">dinyatakan. Yesus juga Mesias yang kembali untuk menyempurnakan dunia (Rm. 1:3-4). Penegasan akan ketuhanan Anak semakin jelas dengan keberadaan-Nya bersama dengan Bapa dari keabadian. Penyebutan gelar Yesus sebagai </w:t>
      </w:r>
      <w:r w:rsidRPr="00893B05">
        <w:rPr>
          <w:rFonts w:asciiTheme="majorBidi" w:hAnsiTheme="majorBidi" w:cstheme="majorBidi"/>
          <w:i/>
          <w:lang w:val="id-ID"/>
        </w:rPr>
        <w:t>Kyrios</w:t>
      </w:r>
      <w:r w:rsidRPr="00893B05">
        <w:rPr>
          <w:rFonts w:asciiTheme="majorBidi" w:hAnsiTheme="majorBidi" w:cstheme="majorBidi"/>
          <w:lang w:val="id-ID"/>
        </w:rPr>
        <w:t xml:space="preserve"> menandakan Dia memiliki ketuhanan yang penuh sebagai Anak. Istilah tersebut diterjemahkan dari Perjanjian Lama yang biasanya disematkan untuk sebutan Allah.</w:t>
      </w:r>
      <w:r w:rsidRPr="00893B05">
        <w:rPr>
          <w:rStyle w:val="FootnoteReference"/>
          <w:rFonts w:asciiTheme="majorBidi" w:hAnsiTheme="majorBidi" w:cstheme="majorBidi"/>
          <w:lang w:val="id-ID"/>
        </w:rPr>
        <w:footnoteReference w:id="30"/>
      </w:r>
      <w:r w:rsidRPr="00893B05">
        <w:rPr>
          <w:rFonts w:asciiTheme="majorBidi" w:hAnsiTheme="majorBidi" w:cstheme="majorBidi"/>
          <w:lang w:val="id-ID"/>
        </w:rPr>
        <w:t xml:space="preserve"> Jika Yesus dan Roh Kudus harus disembah, apakah hal tersebut bertentangan dengan Allah yang Esa? Atau jika Allah Trinitas dipahami dari kesatuannya, apakah ketuhanan Yesus dan Roh tidak dapat disetarakan dengan Allah Bapa?</w:t>
      </w:r>
    </w:p>
    <w:p w14:paraId="232F942E" w14:textId="77777777" w:rsidR="00AC64E6" w:rsidRPr="00893B05" w:rsidRDefault="00AC64E6" w:rsidP="00AC64E6">
      <w:pPr>
        <w:pStyle w:val="KuriosKonten"/>
        <w:rPr>
          <w:rFonts w:asciiTheme="majorBidi" w:hAnsiTheme="majorBidi" w:cstheme="majorBidi"/>
          <w:lang w:val="id-ID"/>
        </w:rPr>
      </w:pPr>
      <w:r w:rsidRPr="00893B05">
        <w:rPr>
          <w:rFonts w:asciiTheme="majorBidi" w:hAnsiTheme="majorBidi" w:cstheme="majorBidi"/>
          <w:lang w:val="id-ID"/>
        </w:rPr>
        <w:t xml:space="preserve">Pengakuan Iman Nicea, dengan penggunaan </w:t>
      </w:r>
      <w:r w:rsidRPr="00893B05">
        <w:rPr>
          <w:rFonts w:asciiTheme="majorBidi" w:hAnsiTheme="majorBidi" w:cstheme="majorBidi"/>
          <w:i/>
          <w:lang w:val="id-ID"/>
        </w:rPr>
        <w:t>homousios</w:t>
      </w:r>
      <w:r w:rsidRPr="00893B05">
        <w:rPr>
          <w:rFonts w:asciiTheme="majorBidi" w:hAnsiTheme="majorBidi" w:cstheme="majorBidi"/>
          <w:lang w:val="id-ID"/>
        </w:rPr>
        <w:t xml:space="preserve"> sebagai kata kunci, menunjukkan kesatuan substansial antara Bapa, Anak, dan Roh. Akan tetapi, pengakuan Iman Athanasius dengan tesis </w:t>
      </w:r>
      <w:r w:rsidRPr="00893B05">
        <w:rPr>
          <w:rFonts w:asciiTheme="majorBidi" w:hAnsiTheme="majorBidi" w:cstheme="majorBidi"/>
          <w:i/>
          <w:lang w:val="id-ID"/>
        </w:rPr>
        <w:t xml:space="preserve">unus Deus </w:t>
      </w:r>
      <w:r w:rsidRPr="00893B05">
        <w:rPr>
          <w:rFonts w:asciiTheme="majorBidi" w:hAnsiTheme="majorBidi" w:cstheme="majorBidi"/>
          <w:lang w:val="id-ID"/>
        </w:rPr>
        <w:t>(satu Tuhan) mempertahankan identitas dari satu subjek ilahi. Ambivalensi kredo tersebut menimbulkan pertanyaan: apakah Bapa, Anak, dan Roh adalah satu dalam substansi ilahi yang sama atau dalam menjadi subjek ilahi yang sama?</w:t>
      </w:r>
      <w:r w:rsidRPr="00893B05">
        <w:rPr>
          <w:rStyle w:val="FootnoteReference"/>
          <w:rFonts w:asciiTheme="majorBidi" w:hAnsiTheme="majorBidi" w:cstheme="majorBidi"/>
          <w:lang w:val="id-ID"/>
        </w:rPr>
        <w:footnoteReference w:id="31"/>
      </w:r>
      <w:r w:rsidRPr="00893B05">
        <w:rPr>
          <w:rFonts w:asciiTheme="majorBidi" w:hAnsiTheme="majorBidi" w:cstheme="majorBidi"/>
          <w:lang w:val="id-ID"/>
        </w:rPr>
        <w:t xml:space="preserve"> </w:t>
      </w:r>
    </w:p>
    <w:p w14:paraId="44F3A478" w14:textId="48BF6649" w:rsidR="00AC64E6" w:rsidRPr="00893B05" w:rsidRDefault="00AC64E6" w:rsidP="00F004EE">
      <w:pPr>
        <w:pStyle w:val="KuriosKonten"/>
        <w:rPr>
          <w:rFonts w:asciiTheme="majorBidi" w:hAnsiTheme="majorBidi" w:cstheme="majorBidi"/>
          <w:lang w:val="id-ID"/>
        </w:rPr>
      </w:pPr>
      <w:r w:rsidRPr="00893B05">
        <w:rPr>
          <w:rFonts w:asciiTheme="majorBidi" w:hAnsiTheme="majorBidi" w:cstheme="majorBidi"/>
          <w:lang w:val="id-ID"/>
        </w:rPr>
        <w:t xml:space="preserve">Pemahaman akan ketigaan menuju kesatuan dapat dipahami dengan hubungan dalam  komunitas, yaitu komunitas tiga </w:t>
      </w:r>
      <w:r w:rsidRPr="00893B05">
        <w:rPr>
          <w:rFonts w:asciiTheme="majorBidi" w:hAnsiTheme="majorBidi" w:cstheme="majorBidi"/>
          <w:i/>
          <w:lang w:val="id-ID"/>
        </w:rPr>
        <w:t>personae</w:t>
      </w:r>
      <w:r w:rsidRPr="00893B05">
        <w:rPr>
          <w:rFonts w:asciiTheme="majorBidi" w:hAnsiTheme="majorBidi" w:cstheme="majorBidi"/>
          <w:lang w:val="id-ID"/>
        </w:rPr>
        <w:t xml:space="preserve">. Satu Allah sebagai Bapa, Anak, dan Roh, berarti berbicara tentang persekutuan pribadi ketiganya. Zizioulas dalam bukunya yang berjudul </w:t>
      </w:r>
      <w:r w:rsidRPr="00893B05">
        <w:rPr>
          <w:rFonts w:asciiTheme="majorBidi" w:hAnsiTheme="majorBidi" w:cstheme="majorBidi"/>
          <w:i/>
          <w:lang w:val="id-ID"/>
        </w:rPr>
        <w:t xml:space="preserve">Being as Communion </w:t>
      </w:r>
      <w:r w:rsidRPr="00893B05">
        <w:rPr>
          <w:rFonts w:asciiTheme="majorBidi" w:hAnsiTheme="majorBidi" w:cstheme="majorBidi"/>
          <w:lang w:val="id-ID"/>
        </w:rPr>
        <w:t>menjadi acuan banyak teolog kontemporer untuk melihat relasi dalam komunitas trinitarian. Tesis utama Zizioulas mengatakan pemahaman tentang satu Tuhan harus dimulai dengan diskursus Allah yang adalah persekutuan. Zizioulas mengatakan: “It would be unthinkable to speak of the “one God” before speaking of the God who is “communion” that is to say of the Holy Trinity.”</w:t>
      </w:r>
      <w:r w:rsidRPr="00893B05">
        <w:rPr>
          <w:rStyle w:val="FootnoteReference"/>
          <w:rFonts w:asciiTheme="majorBidi" w:hAnsiTheme="majorBidi" w:cstheme="majorBidi"/>
          <w:lang w:val="id-ID"/>
        </w:rPr>
        <w:footnoteReference w:id="32"/>
      </w:r>
      <w:r w:rsidRPr="00893B05">
        <w:rPr>
          <w:rFonts w:asciiTheme="majorBidi" w:hAnsiTheme="majorBidi" w:cstheme="majorBidi"/>
          <w:lang w:val="id-ID"/>
        </w:rPr>
        <w:t xml:space="preserve"> Kesatuan Allah Trinitas ada dalam persekutuan tiga pribadi, Bapa, Anak dan Roh. Ketiga pribadi Trinitas tidak memiliki keberadaan sejati yang terpisah dari persekutuan. </w:t>
      </w:r>
    </w:p>
    <w:p w14:paraId="6AA19E39" w14:textId="77777777" w:rsidR="00AC64E6" w:rsidRPr="00893B05" w:rsidRDefault="00AC64E6" w:rsidP="00AC64E6">
      <w:pPr>
        <w:pStyle w:val="KuriosKonten"/>
        <w:rPr>
          <w:rFonts w:asciiTheme="majorBidi" w:hAnsiTheme="majorBidi" w:cstheme="majorBidi"/>
          <w:lang w:val="id-ID"/>
        </w:rPr>
      </w:pPr>
      <w:r w:rsidRPr="00893B05">
        <w:rPr>
          <w:rFonts w:asciiTheme="majorBidi" w:hAnsiTheme="majorBidi" w:cstheme="majorBidi"/>
          <w:lang w:val="id-ID"/>
        </w:rPr>
        <w:t>Trinitas merupakan simbol dinamis kehidupan. Ketiganya terhubung dalam relasional saling memberi dan menerima dalam cinta sesuai dengan kapasitas masing-masing. Allah Trinitas adalah persekutuan cinta dalam tiga pribadi yang setara. Perbedaan mereka terletak pada cara-cara mereka berhubungan satu dengan yang lain.</w:t>
      </w:r>
      <w:r w:rsidRPr="00893B05">
        <w:rPr>
          <w:rStyle w:val="FootnoteReference"/>
          <w:rFonts w:asciiTheme="majorBidi" w:hAnsiTheme="majorBidi" w:cstheme="majorBidi"/>
          <w:lang w:val="id-ID"/>
        </w:rPr>
        <w:footnoteReference w:id="33"/>
      </w:r>
      <w:r w:rsidRPr="00893B05">
        <w:rPr>
          <w:rFonts w:asciiTheme="majorBidi" w:hAnsiTheme="majorBidi" w:cstheme="majorBidi"/>
          <w:lang w:val="id-ID"/>
        </w:rPr>
        <w:t xml:space="preserve"> </w:t>
      </w:r>
    </w:p>
    <w:p w14:paraId="553FE764" w14:textId="77777777" w:rsidR="00AC64E6" w:rsidRPr="00893B05" w:rsidRDefault="00AC64E6" w:rsidP="00AC64E6">
      <w:pPr>
        <w:pStyle w:val="KuriosKonten"/>
        <w:rPr>
          <w:rFonts w:asciiTheme="majorBidi" w:hAnsiTheme="majorBidi" w:cstheme="majorBidi"/>
          <w:lang w:val="id-ID"/>
        </w:rPr>
      </w:pPr>
      <w:r w:rsidRPr="00893B05">
        <w:rPr>
          <w:rFonts w:asciiTheme="majorBidi" w:hAnsiTheme="majorBidi" w:cstheme="majorBidi"/>
          <w:lang w:val="id-ID"/>
        </w:rPr>
        <w:t>Persekutuan memungkinkan Bapa, Anak, dan Roh eksis secara bersamaan dan tidak saling menghalangi. Keberadaannya ada berdasar pada ketiga pribadi Trinitas, namun tetap dalam keunikan masing-masing. Dalam komunitas tersebut kebebasan setiap pribadi terjamin.</w:t>
      </w:r>
      <w:r w:rsidRPr="00893B05">
        <w:rPr>
          <w:rStyle w:val="FootnoteReference"/>
          <w:rFonts w:asciiTheme="majorBidi" w:hAnsiTheme="majorBidi" w:cstheme="majorBidi"/>
          <w:lang w:val="id-ID"/>
        </w:rPr>
        <w:footnoteReference w:id="34"/>
      </w:r>
      <w:r w:rsidRPr="00893B05">
        <w:rPr>
          <w:rFonts w:asciiTheme="majorBidi" w:hAnsiTheme="majorBidi" w:cstheme="majorBidi"/>
          <w:lang w:val="id-ID"/>
        </w:rPr>
        <w:t xml:space="preserve"> Tiga pribadi Trinitas memiliki keunikan masing-masing. Mereka tidak boleh didefinisikan hanya melalui sifat umum mereka karena batasan ketiganya akan menjadi tidak bisa dipahami. Mereka memiliki keilahian yang sama tetapi juga memiliki natur pribadi. </w:t>
      </w:r>
      <w:r w:rsidRPr="00893B05">
        <w:rPr>
          <w:rFonts w:asciiTheme="majorBidi" w:hAnsiTheme="majorBidi" w:cstheme="majorBidi"/>
          <w:lang w:val="id-ID"/>
        </w:rPr>
        <w:lastRenderedPageBreak/>
        <w:t>Natur tersebut ditentukan dalam hubungan mereka satu sama lain. Menjadi pribadi dalam hal ini berarti ada “dalam relasi.”</w:t>
      </w:r>
      <w:r w:rsidRPr="00893B05">
        <w:rPr>
          <w:rStyle w:val="FootnoteReference"/>
          <w:rFonts w:asciiTheme="majorBidi" w:hAnsiTheme="majorBidi" w:cstheme="majorBidi"/>
          <w:lang w:val="id-ID"/>
        </w:rPr>
        <w:footnoteReference w:id="35"/>
      </w:r>
      <w:r w:rsidRPr="00893B05">
        <w:rPr>
          <w:rFonts w:asciiTheme="majorBidi" w:hAnsiTheme="majorBidi" w:cstheme="majorBidi"/>
          <w:lang w:val="id-ID"/>
        </w:rPr>
        <w:t xml:space="preserve"> </w:t>
      </w:r>
    </w:p>
    <w:p w14:paraId="4DD22E66" w14:textId="2595735B" w:rsidR="00AC64E6" w:rsidRPr="00893B05" w:rsidRDefault="00AC64E6" w:rsidP="00F004EE">
      <w:pPr>
        <w:pStyle w:val="KuriosKonten"/>
        <w:rPr>
          <w:rFonts w:asciiTheme="majorBidi" w:hAnsiTheme="majorBidi" w:cstheme="majorBidi"/>
          <w:lang w:val="id-ID"/>
        </w:rPr>
      </w:pPr>
      <w:r w:rsidRPr="00893B05">
        <w:rPr>
          <w:rFonts w:asciiTheme="majorBidi" w:hAnsiTheme="majorBidi" w:cstheme="majorBidi"/>
          <w:lang w:val="id-ID"/>
        </w:rPr>
        <w:t>Penegasan tiga pribadi dalam persekutuan terjadi tanpa mengurangi atau menghilangkan keunikan masing-masing ke dalam  persatuan atau menghilangkan persatuan karena penegasan tiga pribadi dapat dipahami melalui konsep persekutuan perikoretik.</w:t>
      </w:r>
      <w:r w:rsidR="00F004EE" w:rsidRPr="00893B05">
        <w:rPr>
          <w:rStyle w:val="FootnoteReference"/>
          <w:rFonts w:asciiTheme="majorBidi" w:hAnsiTheme="majorBidi" w:cstheme="majorBidi"/>
          <w:lang w:val="id-ID"/>
        </w:rPr>
        <w:footnoteReference w:id="36"/>
      </w:r>
      <w:r w:rsidR="00F004EE" w:rsidRPr="00893B05">
        <w:rPr>
          <w:rFonts w:asciiTheme="majorBidi" w:hAnsiTheme="majorBidi" w:cstheme="majorBidi"/>
          <w:lang w:val="id-ID"/>
        </w:rPr>
        <w:t xml:space="preserve"> </w:t>
      </w:r>
      <w:r w:rsidRPr="00893B05">
        <w:rPr>
          <w:rFonts w:asciiTheme="majorBidi" w:hAnsiTheme="majorBidi" w:cstheme="majorBidi"/>
          <w:lang w:val="id-ID"/>
        </w:rPr>
        <w:t xml:space="preserve">Sebelumnya kata perikoresis hanya dipakai untuk menjelaskan </w:t>
      </w:r>
      <w:r w:rsidR="00F004EE" w:rsidRPr="00893B05">
        <w:rPr>
          <w:rFonts w:asciiTheme="majorBidi" w:hAnsiTheme="majorBidi" w:cstheme="majorBidi"/>
          <w:lang w:val="id-ID"/>
        </w:rPr>
        <w:t>interpretasi</w:t>
      </w:r>
      <w:r w:rsidRPr="00893B05">
        <w:rPr>
          <w:rFonts w:asciiTheme="majorBidi" w:hAnsiTheme="majorBidi" w:cstheme="majorBidi"/>
          <w:lang w:val="id-ID"/>
        </w:rPr>
        <w:t xml:space="preserve"> dua hakikat Kristus sebagai yang ilahi dan sebagai manusia. </w:t>
      </w:r>
    </w:p>
    <w:p w14:paraId="134AE410" w14:textId="77777777" w:rsidR="00AC64E6" w:rsidRPr="00893B05" w:rsidRDefault="00AC64E6" w:rsidP="00AC64E6">
      <w:pPr>
        <w:pStyle w:val="KuriosKonten"/>
        <w:rPr>
          <w:rFonts w:asciiTheme="majorBidi" w:hAnsiTheme="majorBidi" w:cstheme="majorBidi"/>
          <w:lang w:val="id-ID"/>
        </w:rPr>
      </w:pPr>
      <w:r w:rsidRPr="00893B05">
        <w:rPr>
          <w:rFonts w:asciiTheme="majorBidi" w:hAnsiTheme="majorBidi" w:cstheme="majorBidi"/>
          <w:lang w:val="id-ID"/>
        </w:rPr>
        <w:t xml:space="preserve">Yohanes Damaskus menjelaskan konsep perikoresis dalam </w:t>
      </w:r>
      <w:r w:rsidRPr="00893B05">
        <w:rPr>
          <w:rFonts w:asciiTheme="majorBidi" w:hAnsiTheme="majorBidi" w:cstheme="majorBidi"/>
          <w:i/>
          <w:lang w:val="id-ID"/>
        </w:rPr>
        <w:t xml:space="preserve">De Fide Orthodoxa 1.14 , </w:t>
      </w:r>
      <w:r w:rsidRPr="00893B05">
        <w:rPr>
          <w:rFonts w:asciiTheme="majorBidi" w:hAnsiTheme="majorBidi" w:cstheme="majorBidi"/>
          <w:lang w:val="id-ID"/>
        </w:rPr>
        <w:t>sebagai berikut:</w:t>
      </w:r>
    </w:p>
    <w:p w14:paraId="3B1BE798" w14:textId="77777777" w:rsidR="00AC64E6" w:rsidRPr="00893B05" w:rsidRDefault="00AC64E6" w:rsidP="00AC64E6">
      <w:pPr>
        <w:pStyle w:val="Kurios-Quote"/>
      </w:pPr>
      <w:r w:rsidRPr="00893B05">
        <w:t>The subsistence’s dwell and are established firmly in one another. For they are inseparable and cannot part from one another, but keep to their separate course within one another, without coalescing or mingling, but cleaving to each other. For the Son is in the Father and the Spirit: and the Spirit in the Father and the Son: and the Father in the Son and the Spirit, but there is no coalescence or commingling or confusion. And there is one and the same motion: for there is one impulse and one motion of the three subsistence, which is not to be observed in any created nature.</w:t>
      </w:r>
      <w:r w:rsidRPr="00893B05">
        <w:rPr>
          <w:rStyle w:val="FootnoteReference"/>
        </w:rPr>
        <w:footnoteReference w:id="37"/>
      </w:r>
      <w:r w:rsidRPr="00893B05">
        <w:t xml:space="preserve"> </w:t>
      </w:r>
    </w:p>
    <w:p w14:paraId="1C400E4A" w14:textId="71773330" w:rsidR="00AC64E6" w:rsidRPr="00893B05" w:rsidRDefault="00AC64E6" w:rsidP="00F004EE">
      <w:pPr>
        <w:pStyle w:val="KuriosKonten"/>
        <w:rPr>
          <w:rFonts w:asciiTheme="majorBidi" w:hAnsiTheme="majorBidi" w:cstheme="majorBidi"/>
          <w:lang w:val="id-ID"/>
        </w:rPr>
      </w:pPr>
      <w:r w:rsidRPr="00893B05">
        <w:rPr>
          <w:rFonts w:asciiTheme="majorBidi" w:hAnsiTheme="majorBidi" w:cstheme="majorBidi"/>
          <w:lang w:val="id-ID"/>
        </w:rPr>
        <w:t>Ketiga pribadi saling berdiam satu sama lainnya dan masing-masing pribadi mengandung dua pribadi lainnya dan dikandung oleh dua pribadi lainnya juga. Perbedaan di antara tiga pribadi tetap terjaga.</w:t>
      </w:r>
      <w:r w:rsidRPr="00893B05">
        <w:rPr>
          <w:rStyle w:val="FootnoteReference"/>
          <w:rFonts w:asciiTheme="majorBidi" w:hAnsiTheme="majorBidi" w:cstheme="majorBidi"/>
          <w:lang w:val="id-ID"/>
        </w:rPr>
        <w:footnoteReference w:id="38"/>
      </w:r>
      <w:r w:rsidRPr="00893B05">
        <w:rPr>
          <w:rFonts w:asciiTheme="majorBidi" w:hAnsiTheme="majorBidi" w:cstheme="majorBidi"/>
          <w:lang w:val="id-ID"/>
        </w:rPr>
        <w:t xml:space="preserve"> Tiga pribadi Trinitas ada dalam persekutuan yang tetap menegaskan perbedaan dan kesatuan Bapa, Anak, dan Roh. Hal yang membedakan mereka sekaligus menjadi hal yang mengikat mereka bersama. Peredaran kehidupan ilahi yang kekal menjadi sempurna melalui persekutuan dan persatuan tiga pribadi yang berbeda dalam cinta abadi.</w:t>
      </w:r>
      <w:r w:rsidRPr="00893B05">
        <w:rPr>
          <w:rStyle w:val="FootnoteReference"/>
          <w:rFonts w:asciiTheme="majorBidi" w:hAnsiTheme="majorBidi" w:cstheme="majorBidi"/>
          <w:lang w:val="id-ID"/>
        </w:rPr>
        <w:footnoteReference w:id="39"/>
      </w:r>
      <w:r w:rsidRPr="00893B05">
        <w:rPr>
          <w:rFonts w:asciiTheme="majorBidi" w:hAnsiTheme="majorBidi" w:cstheme="majorBidi"/>
          <w:lang w:val="id-ID"/>
        </w:rPr>
        <w:t xml:space="preserve"> </w:t>
      </w:r>
    </w:p>
    <w:p w14:paraId="2915A436" w14:textId="77777777" w:rsidR="009D6728" w:rsidRPr="00893B05" w:rsidRDefault="009D6728" w:rsidP="009D6728">
      <w:pPr>
        <w:pStyle w:val="KuriosSubjudul"/>
        <w:rPr>
          <w:rFonts w:asciiTheme="majorBidi" w:hAnsiTheme="majorBidi" w:cstheme="majorBidi"/>
          <w:lang w:val="id-ID"/>
        </w:rPr>
      </w:pPr>
      <w:bookmarkStart w:id="8" w:name="_Toc40440096"/>
      <w:bookmarkStart w:id="9" w:name="_Toc40710603"/>
      <w:bookmarkStart w:id="10" w:name="_Toc41642752"/>
      <w:r w:rsidRPr="00893B05">
        <w:rPr>
          <w:rFonts w:asciiTheme="majorBidi" w:hAnsiTheme="majorBidi" w:cstheme="majorBidi"/>
          <w:lang w:val="id-ID"/>
        </w:rPr>
        <w:t>Pendekatan Trinitarian Pneumatologis</w:t>
      </w:r>
      <w:bookmarkEnd w:id="8"/>
      <w:bookmarkEnd w:id="9"/>
      <w:bookmarkEnd w:id="10"/>
    </w:p>
    <w:p w14:paraId="246C785E" w14:textId="56690B71" w:rsidR="009D6728" w:rsidRPr="00893B05" w:rsidRDefault="009D6728" w:rsidP="009D6728">
      <w:pPr>
        <w:pStyle w:val="KuriosKonten"/>
        <w:rPr>
          <w:rFonts w:asciiTheme="majorBidi" w:hAnsiTheme="majorBidi" w:cstheme="majorBidi"/>
          <w:lang w:val="id-ID"/>
        </w:rPr>
      </w:pPr>
      <w:r w:rsidRPr="00893B05">
        <w:rPr>
          <w:rFonts w:asciiTheme="majorBidi" w:hAnsiTheme="majorBidi" w:cstheme="majorBidi"/>
          <w:lang w:val="id-ID"/>
        </w:rPr>
        <w:t>Beberapa teolog telah menunjukkan upaya serius dalam menghubungkan doktrin Trinitarian dengan realitas keberagaman seperti S. Mark Heim dan Gavin D’Costa. Heim menjawab tantangan keberagaman dengan mengatakan bahwa tujuan akhir agama-agama berbeda. Perbedaan agama disebabkan oleh perbedaan konsep jalan akhir yang dituju oleh masing-masing agama</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40"/>
      </w:r>
      <w:r w:rsidRPr="00893B05">
        <w:rPr>
          <w:rFonts w:asciiTheme="majorBidi" w:hAnsiTheme="majorBidi" w:cstheme="majorBidi"/>
          <w:lang w:val="id-ID"/>
        </w:rPr>
        <w:t xml:space="preserve"> Perbedaan tujuan akhir yang ditawarkan oleh setiap agama-agama </w:t>
      </w:r>
      <w:r w:rsidRPr="00893B05">
        <w:rPr>
          <w:rFonts w:asciiTheme="majorBidi" w:hAnsiTheme="majorBidi" w:cstheme="majorBidi"/>
          <w:lang w:val="id-ID"/>
        </w:rPr>
        <w:lastRenderedPageBreak/>
        <w:t>disebabkan oleh perbedaan relasi-relasi agama kepada Allah. Tujuan akhir yang berbeda-beda tidak bertentangan dengan keberadaan Allah. Hal ini dimungkinkan karena multiplisitas relasi yang tersedia dalam persekutuan Allah Trinitas. Sehingga Heim mengatakan, Jika multiplisitas relasi yang terjadi antara pribadi-pribadi Allah Trinitas  itu benar, maka klaim religius dan tujuan akhir yang berbeda juga memiliki kebenaran. Sebaliknya, jika multiplisitas relasi Trinitas itu salah maka kekristenan juga bisa tidak benar karena meyakini relasi multiplisitas yang terjadi dalam relasi Allah Trinitas</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41"/>
      </w:r>
      <w:r w:rsidRPr="00893B05">
        <w:rPr>
          <w:rFonts w:asciiTheme="majorBidi" w:hAnsiTheme="majorBidi" w:cstheme="majorBidi"/>
          <w:lang w:val="id-ID"/>
        </w:rPr>
        <w:t xml:space="preserve"> </w:t>
      </w:r>
    </w:p>
    <w:p w14:paraId="705285E3" w14:textId="119FF5DB" w:rsidR="009D6728" w:rsidRPr="00893B05" w:rsidRDefault="009D6728" w:rsidP="009D6728">
      <w:pPr>
        <w:pStyle w:val="KuriosKonten"/>
        <w:rPr>
          <w:rFonts w:asciiTheme="majorBidi" w:hAnsiTheme="majorBidi" w:cstheme="majorBidi"/>
          <w:lang w:val="id-ID"/>
        </w:rPr>
      </w:pPr>
      <w:r w:rsidRPr="00893B05">
        <w:rPr>
          <w:rFonts w:asciiTheme="majorBidi" w:hAnsiTheme="majorBidi" w:cstheme="majorBidi"/>
          <w:lang w:val="id-ID"/>
        </w:rPr>
        <w:t xml:space="preserve">Pandangan Heim tentang tujuan akhir yang berbeda-beda tampaknya lebih menawarkan suatu konsep pemahaman yang baru bagi agama Kristen.  Sebab, dalam agama Kristen dipahami bahwa pada masa </w:t>
      </w:r>
      <w:r w:rsidRPr="00893B05">
        <w:rPr>
          <w:rFonts w:asciiTheme="majorBidi" w:hAnsiTheme="majorBidi" w:cstheme="majorBidi"/>
          <w:i/>
          <w:iCs/>
          <w:lang w:val="id-ID"/>
        </w:rPr>
        <w:t>eschaton</w:t>
      </w:r>
      <w:r w:rsidRPr="00893B05">
        <w:rPr>
          <w:rFonts w:asciiTheme="majorBidi" w:hAnsiTheme="majorBidi" w:cstheme="majorBidi"/>
          <w:lang w:val="id-ID"/>
        </w:rPr>
        <w:t xml:space="preserve"> Allah akan mengumpulkan semua orang yang setia dalam Kerajaan-Nya</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42"/>
      </w:r>
      <w:r w:rsidR="00263648" w:rsidRPr="00893B05">
        <w:rPr>
          <w:rFonts w:asciiTheme="majorBidi" w:hAnsiTheme="majorBidi" w:cstheme="majorBidi"/>
          <w:lang w:val="id-ID"/>
        </w:rPr>
        <w:t xml:space="preserve"> </w:t>
      </w:r>
      <w:r w:rsidRPr="00893B05">
        <w:rPr>
          <w:rFonts w:asciiTheme="majorBidi" w:hAnsiTheme="majorBidi" w:cstheme="majorBidi"/>
          <w:lang w:val="id-ID"/>
        </w:rPr>
        <w:t xml:space="preserve">berbeda dengan pandangan Heim yang menawarkan tujuan akhir yang berbeda-beda. </w:t>
      </w:r>
    </w:p>
    <w:p w14:paraId="28E74A34" w14:textId="360439EC" w:rsidR="009D6728" w:rsidRPr="00893B05" w:rsidRDefault="009D6728" w:rsidP="009D6728">
      <w:pPr>
        <w:pStyle w:val="KuriosKonten"/>
        <w:rPr>
          <w:rFonts w:asciiTheme="majorBidi" w:hAnsiTheme="majorBidi" w:cstheme="majorBidi"/>
          <w:lang w:val="id-ID"/>
        </w:rPr>
      </w:pPr>
      <w:r w:rsidRPr="00893B05">
        <w:rPr>
          <w:rFonts w:asciiTheme="majorBidi" w:hAnsiTheme="majorBidi" w:cstheme="majorBidi"/>
          <w:lang w:val="id-ID"/>
        </w:rPr>
        <w:t>Berbeda dengan Heim, Gavin D’Costa menawarkan aspek trinitarian dalam dialektika “dua tangan Allah,” di mana penegasannya terhadap Kristus memunculkan Kristosentris yang kuat. Yesus sangat berperan dalam karya keselamatan dan Roh Kudus menjadi tangan kedua Allah. D’Costa mengatakan aktivitas Roh Kudus terkait erat dengan Bapa dan Anak. Kapan pun Allah hadir, maka itu adalah kehadiran Allah Trinitas</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43"/>
      </w:r>
      <w:r w:rsidRPr="00893B05">
        <w:rPr>
          <w:rFonts w:asciiTheme="majorBidi" w:hAnsiTheme="majorBidi" w:cstheme="majorBidi"/>
          <w:lang w:val="id-ID"/>
        </w:rPr>
        <w:t xml:space="preserve"> </w:t>
      </w:r>
    </w:p>
    <w:p w14:paraId="7A0A78B8" w14:textId="73CE06C7" w:rsidR="00E671B4" w:rsidRPr="00893B05" w:rsidRDefault="009D6728" w:rsidP="00DA233C">
      <w:pPr>
        <w:pStyle w:val="KuriosKonten"/>
        <w:rPr>
          <w:rFonts w:asciiTheme="majorBidi" w:hAnsiTheme="majorBidi" w:cstheme="majorBidi"/>
          <w:lang w:val="id-ID"/>
        </w:rPr>
      </w:pPr>
      <w:r w:rsidRPr="00893B05">
        <w:rPr>
          <w:rFonts w:asciiTheme="majorBidi" w:hAnsiTheme="majorBidi" w:cstheme="majorBidi"/>
          <w:lang w:val="id-ID"/>
        </w:rPr>
        <w:t xml:space="preserve">Terdapat aspek-aspek lain dari trinitarian yang digunakan oleh teolog agama-agama, dan dalam tulisan ini saya akan membahas teologi agama-agama dengan pendekatan trinitarian pneumatologis.  </w:t>
      </w:r>
    </w:p>
    <w:p w14:paraId="7EC62ABE" w14:textId="77777777" w:rsidR="00E671B4" w:rsidRPr="00893B05" w:rsidRDefault="00E671B4" w:rsidP="00E671B4">
      <w:pPr>
        <w:pStyle w:val="KuriosKonten"/>
        <w:rPr>
          <w:rFonts w:asciiTheme="majorBidi" w:hAnsiTheme="majorBidi" w:cstheme="majorBidi"/>
          <w:lang w:val="id-ID"/>
        </w:rPr>
      </w:pPr>
      <w:r w:rsidRPr="00893B05">
        <w:rPr>
          <w:rFonts w:asciiTheme="majorBidi" w:hAnsiTheme="majorBidi" w:cstheme="majorBidi"/>
          <w:lang w:val="id-ID"/>
        </w:rPr>
        <w:t>Ketiga pribadi Trinitas hadir dan saling terhubung dalam peristiwa wahyu sebagaimana disajikan dalam kehidupan dan pesan Yesus sejarah.</w:t>
      </w:r>
      <w:r w:rsidRPr="00893B05">
        <w:rPr>
          <w:rStyle w:val="FootnoteReference"/>
          <w:rFonts w:asciiTheme="majorBidi" w:hAnsiTheme="majorBidi" w:cstheme="majorBidi"/>
          <w:lang w:val="id-ID"/>
        </w:rPr>
        <w:footnoteReference w:id="44"/>
      </w:r>
      <w:r w:rsidRPr="00893B05">
        <w:rPr>
          <w:rFonts w:asciiTheme="majorBidi" w:hAnsiTheme="majorBidi" w:cstheme="majorBidi"/>
          <w:lang w:val="id-ID"/>
        </w:rPr>
        <w:t xml:space="preserve"> Karya keselamatan bukan hanya tindakan Yesus melainkan juga tindakan Bapa dan Roh.</w:t>
      </w:r>
      <w:r w:rsidRPr="00893B05">
        <w:rPr>
          <w:rStyle w:val="FootnoteReference"/>
          <w:rFonts w:asciiTheme="majorBidi" w:hAnsiTheme="majorBidi" w:cstheme="majorBidi"/>
          <w:lang w:val="id-ID"/>
        </w:rPr>
        <w:footnoteReference w:id="45"/>
      </w:r>
      <w:r w:rsidRPr="00893B05">
        <w:rPr>
          <w:rFonts w:asciiTheme="majorBidi" w:hAnsiTheme="majorBidi" w:cstheme="majorBidi"/>
          <w:lang w:val="id-ID"/>
        </w:rPr>
        <w:t xml:space="preserve"> Karya apa pun yang dilakukan oleh setiap pribadi Trinitas harus dilihat sebagai karya bersama. Memisahkan karya setiap pribadi artinya mengkhianati persekutuan Trinitas. Relasi Bapa, Anak, dan Roh terjalin dalam model apropriasi, tindakan Yesus tidak akan sempurna jika terlepas dari operasi Bapa dan Roh. Penciptaan tidak lengkap jika dipahami terpisah dari Anak dan Roh. Demikian juga dengan kehadiran Roh Kudus dalam mengkomunikasikan keselamatan merupakan kehadiran Allah Trinitas kepada dunia  </w:t>
      </w:r>
    </w:p>
    <w:p w14:paraId="3C00F541" w14:textId="6B641870" w:rsidR="009D6728" w:rsidRPr="00893B05" w:rsidRDefault="009D6728" w:rsidP="00E671B4">
      <w:pPr>
        <w:pStyle w:val="KuriosKonten"/>
        <w:rPr>
          <w:rFonts w:asciiTheme="majorBidi" w:hAnsiTheme="majorBidi" w:cstheme="majorBidi"/>
          <w:lang w:val="id-ID"/>
        </w:rPr>
      </w:pPr>
      <w:r w:rsidRPr="00893B05">
        <w:rPr>
          <w:rFonts w:asciiTheme="majorBidi" w:hAnsiTheme="majorBidi" w:cstheme="majorBidi"/>
          <w:lang w:val="id-ID"/>
        </w:rPr>
        <w:t xml:space="preserve">Karya keselamatan yang berlangsung dalam inkarnasi kemanusiaan dan kerelaan menderita di salib diikuti oleh kebangkitan melalui Roh Allah yang berdampak pada kehidupan baru. Allah melalui karya keselamatan mengambil inisiatif untuk mendamaikan dunia dengan diri-Nya sendiri. Melalui Roh yang memberi hidup, Anak yang tersalib dibangkitkan agar dunia memperoleh hidup baru dan melalui mediasi Roh, manfaat </w:t>
      </w:r>
      <w:r w:rsidRPr="00893B05">
        <w:rPr>
          <w:rFonts w:asciiTheme="majorBidi" w:hAnsiTheme="majorBidi" w:cstheme="majorBidi"/>
          <w:lang w:val="id-ID"/>
        </w:rPr>
        <w:lastRenderedPageBreak/>
        <w:t>keselamatan dikomunikasikan kepada umat manusia dan kepada seluruh ciptaan</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46"/>
      </w:r>
      <w:r w:rsidRPr="00893B05">
        <w:rPr>
          <w:rFonts w:asciiTheme="majorBidi" w:hAnsiTheme="majorBidi" w:cstheme="majorBidi"/>
          <w:lang w:val="id-ID"/>
        </w:rPr>
        <w:t xml:space="preserve"> Dengan demikian, kehadiran Roh dalam sejarah tidak dapat dipahami hanya melibatkan Yesus. Namun, juga melibatkan diri Allah sebagai Pencipta yang setia kepada ciptaan-Nya</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47"/>
      </w:r>
      <w:r w:rsidRPr="00893B05">
        <w:rPr>
          <w:rFonts w:asciiTheme="majorBidi" w:hAnsiTheme="majorBidi" w:cstheme="majorBidi"/>
          <w:lang w:val="id-ID"/>
        </w:rPr>
        <w:t xml:space="preserve"> </w:t>
      </w:r>
    </w:p>
    <w:p w14:paraId="0BCD8A5F" w14:textId="77777777" w:rsidR="009D6728" w:rsidRPr="00893B05" w:rsidRDefault="009D6728" w:rsidP="009D6728">
      <w:pPr>
        <w:pStyle w:val="KuriosSubjudul"/>
        <w:rPr>
          <w:rFonts w:asciiTheme="majorBidi" w:hAnsiTheme="majorBidi" w:cstheme="majorBidi"/>
          <w:lang w:val="id-ID"/>
        </w:rPr>
      </w:pPr>
      <w:bookmarkStart w:id="11" w:name="_Toc40440097"/>
      <w:bookmarkStart w:id="12" w:name="_Toc40710604"/>
      <w:bookmarkStart w:id="13" w:name="_Toc41642753"/>
      <w:r w:rsidRPr="00893B05">
        <w:rPr>
          <w:rFonts w:asciiTheme="majorBidi" w:hAnsiTheme="majorBidi" w:cstheme="majorBidi"/>
          <w:lang w:val="id-ID"/>
        </w:rPr>
        <w:t>Karya Keselamatan Trinitas</w:t>
      </w:r>
      <w:bookmarkEnd w:id="11"/>
      <w:bookmarkEnd w:id="12"/>
      <w:bookmarkEnd w:id="13"/>
    </w:p>
    <w:p w14:paraId="6AA52081" w14:textId="7E372D3C" w:rsidR="009D6728" w:rsidRPr="00893B05" w:rsidRDefault="009D6728" w:rsidP="009D6728">
      <w:pPr>
        <w:pStyle w:val="KuriosKonten"/>
        <w:rPr>
          <w:rFonts w:asciiTheme="majorBidi" w:hAnsiTheme="majorBidi" w:cstheme="majorBidi"/>
          <w:lang w:val="id-ID"/>
        </w:rPr>
      </w:pPr>
      <w:r w:rsidRPr="00893B05">
        <w:rPr>
          <w:rFonts w:asciiTheme="majorBidi" w:hAnsiTheme="majorBidi" w:cstheme="majorBidi"/>
          <w:lang w:val="id-ID"/>
        </w:rPr>
        <w:t>Tindakan penyelamatan Allah adalah universal dan menjangkau seluruh ciptaan</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48"/>
      </w:r>
      <w:r w:rsidRPr="00893B05">
        <w:rPr>
          <w:rFonts w:asciiTheme="majorBidi" w:hAnsiTheme="majorBidi" w:cstheme="majorBidi"/>
          <w:lang w:val="id-ID"/>
        </w:rPr>
        <w:t xml:space="preserve"> Kebangkitan dan kenaikan Yesus mewadahi penyatuan antara keabadian dan waktu yang di dalamnya hidup manusia mengalami perubahan baru. Allah yang dari kekekalan-Nya akan membawa manusia kepada keabadian melalui keselamatan yang terkait dengan seluruh ciptaan. Di dalam karya keselamatan, umat manusia terikat pada kehidupan kekal dan akan selalu terhubung dengan Allah dalam tuntunan Roh sampai nanti kebenaran dinyatakan</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49"/>
      </w:r>
      <w:r w:rsidRPr="00893B05">
        <w:rPr>
          <w:rFonts w:asciiTheme="majorBidi" w:hAnsiTheme="majorBidi" w:cstheme="majorBidi"/>
          <w:lang w:val="id-ID"/>
        </w:rPr>
        <w:t xml:space="preserve"> </w:t>
      </w:r>
    </w:p>
    <w:p w14:paraId="5BDCEFBF" w14:textId="6222DF38" w:rsidR="009D6728" w:rsidRPr="00893B05" w:rsidRDefault="009D6728" w:rsidP="009D6728">
      <w:pPr>
        <w:pStyle w:val="KuriosKonten"/>
        <w:rPr>
          <w:rFonts w:asciiTheme="majorBidi" w:hAnsiTheme="majorBidi" w:cstheme="majorBidi"/>
          <w:lang w:val="id-ID"/>
        </w:rPr>
      </w:pPr>
      <w:r w:rsidRPr="00893B05">
        <w:rPr>
          <w:rFonts w:asciiTheme="majorBidi" w:hAnsiTheme="majorBidi" w:cstheme="majorBidi"/>
          <w:lang w:val="id-ID"/>
        </w:rPr>
        <w:t>Berdasarkan tindakan cinta Allah yang dinyatakan oleh Anak dan dikomunikasikan oleh Roh, menjadi jelas bahwa kematian Yesus bukan menjadi dasar untuk cinta Allah. Sebaliknya, Yesus mati karena Allah mengasihi manusia dan penyaliban adalah ekspresi dari cinta tersebut. Salib Yesus tidak diberikan oleh manusia untuk mengubah Allah melainkan untuk mengubah manusia. Karya keselamatan menjembatani keterpisahan antara Allah dan manusia di mana saja. Roh yang memberi hidup mewujudkan kesatuan ilahi dan secara integral juga mewujudkan kesatuan Allah Trinitas dengan dunia</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50"/>
      </w:r>
      <w:r w:rsidRPr="00893B05">
        <w:rPr>
          <w:rFonts w:asciiTheme="majorBidi" w:hAnsiTheme="majorBidi" w:cstheme="majorBidi"/>
          <w:lang w:val="id-ID"/>
        </w:rPr>
        <w:t xml:space="preserve"> </w:t>
      </w:r>
    </w:p>
    <w:p w14:paraId="2E6625FC" w14:textId="77777777" w:rsidR="009D6728" w:rsidRPr="00893B05" w:rsidRDefault="009D6728" w:rsidP="009D6728">
      <w:pPr>
        <w:pStyle w:val="KuriosKonten"/>
        <w:rPr>
          <w:rFonts w:asciiTheme="majorBidi" w:hAnsiTheme="majorBidi" w:cstheme="majorBidi"/>
          <w:lang w:val="id-ID"/>
        </w:rPr>
      </w:pPr>
      <w:r w:rsidRPr="00893B05">
        <w:rPr>
          <w:rFonts w:asciiTheme="majorBidi" w:hAnsiTheme="majorBidi" w:cstheme="majorBidi"/>
          <w:lang w:val="id-ID"/>
        </w:rPr>
        <w:t xml:space="preserve">Yesus mengesahkan ikatan persatuan antara Allah dan umat manusia yang tidak pernah dapat dipisahkan. Hal ini merupakan hubungan istimewa di mana Allah telah memilih untuk berbagi kehidupan ilahi dengan seluruh manusia. Tindakan penyelamatan Allah tidak berlaku secara parsial melainkan universal dan karya keselamatan tersebut ditetapkan oleh Allah bukan oleh manusia. </w:t>
      </w:r>
    </w:p>
    <w:p w14:paraId="1AAA80F3" w14:textId="7D203EE8" w:rsidR="009D6728" w:rsidRPr="00893B05" w:rsidRDefault="009D6728" w:rsidP="00C843A3">
      <w:pPr>
        <w:pStyle w:val="KuriosKonten"/>
        <w:rPr>
          <w:rFonts w:asciiTheme="majorBidi" w:hAnsiTheme="majorBidi" w:cstheme="majorBidi"/>
          <w:highlight w:val="yellow"/>
          <w:lang w:val="id-ID"/>
        </w:rPr>
      </w:pPr>
      <w:r w:rsidRPr="00893B05">
        <w:rPr>
          <w:rFonts w:asciiTheme="majorBidi" w:hAnsiTheme="majorBidi" w:cstheme="majorBidi"/>
          <w:lang w:val="id-ID"/>
        </w:rPr>
        <w:t xml:space="preserve">Kehadiran Trinitas melalui karya keselamatan tidak hanya memengaruhi individu kehidupan orang percaya melainkan juga dalam pembentukan komunitas yang kuat. Sebagaimana pandangan Pannenberg yang dikutip oleh Kärkkäinen mengatakan, bahwa dalam perspektif Kristen Trinitas menyelamatkan manusia melalui </w:t>
      </w:r>
      <w:r w:rsidRPr="00893B05">
        <w:rPr>
          <w:rFonts w:asciiTheme="majorBidi" w:hAnsiTheme="majorBidi" w:cstheme="majorBidi"/>
          <w:i/>
          <w:iCs/>
          <w:lang w:val="id-ID"/>
        </w:rPr>
        <w:t>persona</w:t>
      </w:r>
      <w:r w:rsidRPr="00893B05">
        <w:rPr>
          <w:rFonts w:asciiTheme="majorBidi" w:hAnsiTheme="majorBidi" w:cstheme="majorBidi"/>
          <w:lang w:val="id-ID"/>
        </w:rPr>
        <w:t xml:space="preserve"> Anak dan selalu membaharui hidup manusia terus menerus dalam Roh. Karunia Roh tidak hanya memengaruhi kehidupan individual orang percaya tetapi juga mengarahkan manusia kepada pembentukan komunitas yang selalu dibaharui</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51"/>
      </w:r>
      <w:r w:rsidRPr="00893B05">
        <w:rPr>
          <w:rFonts w:asciiTheme="majorBidi" w:hAnsiTheme="majorBidi" w:cstheme="majorBidi"/>
          <w:lang w:val="id-ID"/>
        </w:rPr>
        <w:t xml:space="preserve"> Tindakan karya keselamatan Allah tidak hanya berfungsi dalam kehidupan masa kini tetapi juga menghantar pada pengharapan masa </w:t>
      </w:r>
      <w:r w:rsidRPr="00893B05">
        <w:rPr>
          <w:rFonts w:asciiTheme="majorBidi" w:hAnsiTheme="majorBidi" w:cstheme="majorBidi"/>
          <w:lang w:val="id-ID"/>
        </w:rPr>
        <w:lastRenderedPageBreak/>
        <w:t>yang akan datang. Kebangkitan Yesus menjadi persatuan antara keabadian dan waktu yang telah dibaharui. Dengan demikian harapan keselamatan bagi umat manusia tertanam kuat dalam pembaruan kosmik yang lebih luas. Karya keselamatan harus dilihat secara luas dalam karya Roh yang terus membaharui ciptaan-Nya</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52"/>
      </w:r>
      <w:r w:rsidRPr="00893B05">
        <w:rPr>
          <w:rFonts w:asciiTheme="majorBidi" w:hAnsiTheme="majorBidi" w:cstheme="majorBidi"/>
          <w:lang w:val="id-ID"/>
        </w:rPr>
        <w:t xml:space="preserve"> </w:t>
      </w:r>
    </w:p>
    <w:p w14:paraId="1A21B6DB" w14:textId="77777777" w:rsidR="009D6728" w:rsidRPr="00893B05" w:rsidRDefault="009D6728" w:rsidP="009D6728">
      <w:pPr>
        <w:pStyle w:val="KuriosSubjudul"/>
        <w:rPr>
          <w:rFonts w:asciiTheme="majorBidi" w:hAnsiTheme="majorBidi" w:cstheme="majorBidi"/>
          <w:lang w:val="id-ID"/>
        </w:rPr>
      </w:pPr>
      <w:bookmarkStart w:id="14" w:name="_Toc40440099"/>
      <w:bookmarkStart w:id="15" w:name="_Toc40710606"/>
      <w:bookmarkStart w:id="16" w:name="_Toc41642755"/>
      <w:r w:rsidRPr="00893B05">
        <w:rPr>
          <w:rFonts w:asciiTheme="majorBidi" w:hAnsiTheme="majorBidi" w:cstheme="majorBidi"/>
          <w:lang w:val="id-ID"/>
        </w:rPr>
        <w:t>Karya Roh Kudus di Dunia</w:t>
      </w:r>
      <w:bookmarkEnd w:id="14"/>
      <w:bookmarkEnd w:id="15"/>
      <w:bookmarkEnd w:id="16"/>
    </w:p>
    <w:p w14:paraId="1A70BB77" w14:textId="3F3D8391" w:rsidR="009D6728" w:rsidRPr="00893B05" w:rsidRDefault="009D6728" w:rsidP="009D6728">
      <w:pPr>
        <w:pStyle w:val="KuriosKonten"/>
        <w:rPr>
          <w:rFonts w:asciiTheme="majorBidi" w:hAnsiTheme="majorBidi" w:cstheme="majorBidi"/>
          <w:lang w:val="id-ID"/>
        </w:rPr>
      </w:pPr>
      <w:r w:rsidRPr="00893B05">
        <w:rPr>
          <w:rFonts w:asciiTheme="majorBidi" w:hAnsiTheme="majorBidi" w:cstheme="majorBidi"/>
          <w:lang w:val="id-ID"/>
        </w:rPr>
        <w:t>Roh Allah tidak hanya aktif dalam karya penebusan melalui Anak, melainkan Ia terus ada dan bekerja dalam dunia. Karya keselamatan Trinitas hadir dalam spiritualitas dan realitas melalui kehadiran Roh Kudus yang mengkomunikasikan keselamatan kepada seluruh manusia. Dengan demikian, Trinitas terhubung pada dunia melalui Roh yang selalu aktif bekerja dalam ruang yang tidak terbatas. Roh itu adalah Roh yang sama dengan Roh yang membangkitkan Anak dan yang menopang semua kehidupan. Allah tidak hanya aktif menyatakan kasih yang meluap-luap pada manusia dalam ekonomi penyelamatan melainkan terus-menerus sampai pada masa eskatologi</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53"/>
      </w:r>
      <w:r w:rsidRPr="00893B05">
        <w:rPr>
          <w:rFonts w:asciiTheme="majorBidi" w:hAnsiTheme="majorBidi" w:cstheme="majorBidi"/>
          <w:lang w:val="id-ID"/>
        </w:rPr>
        <w:t xml:space="preserve"> </w:t>
      </w:r>
    </w:p>
    <w:p w14:paraId="71D477C7" w14:textId="3A1B8AC4" w:rsidR="009D6728" w:rsidRPr="00893B05" w:rsidRDefault="009D6728" w:rsidP="009D6728">
      <w:pPr>
        <w:pStyle w:val="KuriosKonten"/>
        <w:rPr>
          <w:rFonts w:asciiTheme="majorBidi" w:hAnsiTheme="majorBidi" w:cstheme="majorBidi"/>
          <w:lang w:val="id-ID"/>
        </w:rPr>
      </w:pPr>
      <w:r w:rsidRPr="00893B05">
        <w:rPr>
          <w:rFonts w:asciiTheme="majorBidi" w:hAnsiTheme="majorBidi" w:cstheme="majorBidi"/>
          <w:lang w:val="id-ID"/>
        </w:rPr>
        <w:t>Kehadiran Roh dalam dunia harus selalu dipahami sebagai kehadiran Allah Trinitas. Sebab, hubungan Bapa, Anak, dan Roh adalah dasar untuk identitas Trinitas</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54"/>
      </w:r>
      <w:r w:rsidRPr="00893B05">
        <w:rPr>
          <w:rFonts w:asciiTheme="majorBidi" w:hAnsiTheme="majorBidi" w:cstheme="majorBidi"/>
          <w:lang w:val="id-ID"/>
        </w:rPr>
        <w:t xml:space="preserve"> Sekalipun Yesus mewakili partikularitas kehadiran Trinitas dalam sejarah, dan Roh mewakili universalitas, kebebasan Roh tidak dapat ditetapkan sebagai oposisi terhadap pribadi dan pelayanan Allah dan Yesus</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55"/>
      </w:r>
      <w:r w:rsidRPr="00893B05">
        <w:rPr>
          <w:rFonts w:asciiTheme="majorBidi" w:hAnsiTheme="majorBidi" w:cstheme="majorBidi"/>
          <w:lang w:val="id-ID"/>
        </w:rPr>
        <w:t xml:space="preserve"> Roh menolak untuk pemujaan diri dan solipsisme tetapi lebih menumbuhkan persekutuan dan kebersamaan. Ia berkarya dengan selalu mengandaikan kepada Kristus dan melalui Kristus kepada Bapa</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56"/>
      </w:r>
      <w:r w:rsidRPr="00893B05">
        <w:rPr>
          <w:rFonts w:asciiTheme="majorBidi" w:hAnsiTheme="majorBidi" w:cstheme="majorBidi"/>
          <w:lang w:val="id-ID"/>
        </w:rPr>
        <w:t xml:space="preserve"> </w:t>
      </w:r>
    </w:p>
    <w:p w14:paraId="595894F4" w14:textId="0B4A1A9E" w:rsidR="009D6728" w:rsidRDefault="009D6728" w:rsidP="003D46F5">
      <w:pPr>
        <w:pStyle w:val="KuriosKonten"/>
        <w:rPr>
          <w:rFonts w:asciiTheme="majorBidi" w:hAnsiTheme="majorBidi" w:cstheme="majorBidi"/>
          <w:lang w:val="id-ID"/>
        </w:rPr>
      </w:pPr>
      <w:r w:rsidRPr="00893B05">
        <w:rPr>
          <w:rFonts w:asciiTheme="majorBidi" w:hAnsiTheme="majorBidi" w:cstheme="majorBidi"/>
          <w:lang w:val="id-ID"/>
        </w:rPr>
        <w:t>Kehadiran Roh di dunia, baik sebagai prinsip kehidupan, maupun sebagai agen transformasi eskatologi atau dalam karya yang lain harus merangkai pembicaraan tentang Roh Allah dan Roh Yesus</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57"/>
      </w:r>
      <w:r w:rsidRPr="00893B05">
        <w:rPr>
          <w:rFonts w:asciiTheme="majorBidi" w:hAnsiTheme="majorBidi" w:cstheme="majorBidi"/>
          <w:lang w:val="id-ID"/>
        </w:rPr>
        <w:t xml:space="preserve"> Secara ontologis Anak dan Roh dalam kehadirannya selalu saling mengandaikan di mana Yesus selalu dikaitkan dengan Roh yang pada hubungannya juga dikaitkan dengan Allah. Dia selalu mentransendensikan dirinya untuk menguatkan persekutuan Trinitas</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58"/>
      </w:r>
      <w:r w:rsidRPr="00893B05">
        <w:rPr>
          <w:rFonts w:asciiTheme="majorBidi" w:hAnsiTheme="majorBidi" w:cstheme="majorBidi"/>
          <w:lang w:val="id-ID"/>
        </w:rPr>
        <w:t xml:space="preserve"> Dengan demikian, kita melihat trinitarian pneumatologis menyajikan kehadiran Allah Trinitas kepada dunia dengan menjaga kesatuan dalam keberagaman dan keberagaman dalam kesatuan. </w:t>
      </w:r>
    </w:p>
    <w:p w14:paraId="41E707C3" w14:textId="77777777" w:rsidR="00DA233C" w:rsidRPr="00893B05" w:rsidRDefault="00DA233C" w:rsidP="003D46F5">
      <w:pPr>
        <w:pStyle w:val="KuriosKonten"/>
        <w:rPr>
          <w:rFonts w:asciiTheme="majorBidi" w:hAnsiTheme="majorBidi" w:cstheme="majorBidi"/>
          <w:lang w:val="id-ID"/>
        </w:rPr>
      </w:pPr>
    </w:p>
    <w:p w14:paraId="36572A49" w14:textId="77777777" w:rsidR="009D6728" w:rsidRPr="00893B05" w:rsidRDefault="009D6728" w:rsidP="009D6728">
      <w:pPr>
        <w:pStyle w:val="KuriosSubjudul"/>
        <w:rPr>
          <w:rFonts w:asciiTheme="majorBidi" w:hAnsiTheme="majorBidi" w:cstheme="majorBidi"/>
          <w:lang w:val="id-ID"/>
        </w:rPr>
      </w:pPr>
      <w:bookmarkStart w:id="17" w:name="_Toc40440100"/>
      <w:bookmarkStart w:id="18" w:name="_Toc40710607"/>
      <w:bookmarkStart w:id="19" w:name="_Toc41642756"/>
      <w:r w:rsidRPr="00893B05">
        <w:rPr>
          <w:rFonts w:asciiTheme="majorBidi" w:hAnsiTheme="majorBidi" w:cstheme="majorBidi"/>
          <w:lang w:val="id-ID"/>
        </w:rPr>
        <w:lastRenderedPageBreak/>
        <w:t>Trinitarian Pneumatologis</w:t>
      </w:r>
      <w:bookmarkEnd w:id="17"/>
      <w:bookmarkEnd w:id="18"/>
      <w:bookmarkEnd w:id="19"/>
    </w:p>
    <w:p w14:paraId="48FDFD99" w14:textId="1AADC995" w:rsidR="009D6728" w:rsidRPr="00893B05" w:rsidRDefault="009D6728" w:rsidP="009D6728">
      <w:pPr>
        <w:pStyle w:val="KuriosKonten"/>
        <w:rPr>
          <w:rFonts w:asciiTheme="majorBidi" w:hAnsiTheme="majorBidi" w:cstheme="majorBidi"/>
          <w:lang w:val="id-ID"/>
        </w:rPr>
      </w:pPr>
      <w:r w:rsidRPr="00893B05">
        <w:rPr>
          <w:rFonts w:asciiTheme="majorBidi" w:hAnsiTheme="majorBidi" w:cstheme="majorBidi"/>
          <w:lang w:val="id-ID"/>
        </w:rPr>
        <w:t>Allah Trinitas dalam kehadiran Roh juga bekerja dalam penciptaan, kehidupan sosial, dan dalam agama lain. Dia tidak terbatas dalam hubungan kerohanian dan batin orang beriman saja</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59"/>
      </w:r>
      <w:r w:rsidRPr="00893B05">
        <w:rPr>
          <w:rFonts w:asciiTheme="majorBidi" w:hAnsiTheme="majorBidi" w:cstheme="majorBidi"/>
          <w:lang w:val="id-ID"/>
        </w:rPr>
        <w:t xml:space="preserve"> Roh bekerja dalam semua aspek kehidupan manusia sebab relasi dalam Trinitas bukan hanya mengikat hubungan keilahian. Namun, relasi tersebut juga menghubungkan Allah Trinitas pada sejarah dan waktu. Dengan kata lain, Roh bekerja juga di luar gereja mengisi ruang-ruang sejarah dan waktu</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60"/>
      </w:r>
      <w:r w:rsidRPr="00893B05">
        <w:rPr>
          <w:rFonts w:asciiTheme="majorBidi" w:hAnsiTheme="majorBidi" w:cstheme="majorBidi"/>
          <w:lang w:val="id-ID"/>
        </w:rPr>
        <w:t xml:space="preserve"> </w:t>
      </w:r>
    </w:p>
    <w:p w14:paraId="52F6B092" w14:textId="47E5CED8" w:rsidR="009D6728" w:rsidRPr="00893B05" w:rsidRDefault="009D6728" w:rsidP="009D6728">
      <w:pPr>
        <w:pStyle w:val="KuriosKonten"/>
        <w:rPr>
          <w:rFonts w:asciiTheme="majorBidi" w:hAnsiTheme="majorBidi" w:cstheme="majorBidi"/>
          <w:lang w:val="id-ID"/>
        </w:rPr>
      </w:pPr>
      <w:r w:rsidRPr="00893B05">
        <w:rPr>
          <w:rFonts w:asciiTheme="majorBidi" w:hAnsiTheme="majorBidi" w:cstheme="majorBidi"/>
          <w:lang w:val="id-ID"/>
        </w:rPr>
        <w:t xml:space="preserve">Sebagaimana Gavin D’Costa  yang dirujuk oleh Kärkkäinen dalam bukunya yang berjudul </w:t>
      </w:r>
      <w:r w:rsidRPr="00893B05">
        <w:rPr>
          <w:rFonts w:asciiTheme="majorBidi" w:hAnsiTheme="majorBidi" w:cstheme="majorBidi"/>
          <w:i/>
          <w:lang w:val="id-ID"/>
        </w:rPr>
        <w:t xml:space="preserve">Trinity and religious pluralism. </w:t>
      </w:r>
      <w:r w:rsidRPr="00893B05">
        <w:rPr>
          <w:rFonts w:asciiTheme="majorBidi" w:hAnsiTheme="majorBidi" w:cstheme="majorBidi"/>
          <w:lang w:val="id-ID"/>
        </w:rPr>
        <w:t>D’Costa mengatakan terdapat hubungan integral antara kehadiran Roh, Bapa, dan Anak ke dalam hubungan integral Allah Trinitas dan gereja</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61"/>
      </w:r>
      <w:r w:rsidRPr="00893B05">
        <w:rPr>
          <w:rFonts w:asciiTheme="majorBidi" w:hAnsiTheme="majorBidi" w:cstheme="majorBidi"/>
          <w:lang w:val="id-ID"/>
        </w:rPr>
        <w:t xml:space="preserve"> Hubungan integral tersebut harus dipahami sebagai panggilan kepada gereja untuk ikut mewujudkan persekutuan relasional di dunia. Hubungan Roh dengan persekutuan gereja tidak berarti untuk mengurung Roh yang bebas di dalam gereja. Roh tidak terbatas pada batasan-batasan gereja melainkan Roh selalu menarik manusia ke dalam persekutuan Trinitas. Gereja adalah tanda kedatangan kerajaan Allah untuk menggenapi tujuan-Nya di dunia</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62"/>
      </w:r>
      <w:r w:rsidRPr="00893B05">
        <w:rPr>
          <w:rFonts w:asciiTheme="majorBidi" w:hAnsiTheme="majorBidi" w:cstheme="majorBidi"/>
          <w:lang w:val="id-ID"/>
        </w:rPr>
        <w:t xml:space="preserve">  Gereja yang melayani dan berpartisipasi dalam kedatangan eskatologi diarahkan pada fungsi yang melampaui diri mereka, yaitu kepada kesatuan umat manusia bersama Allah Trinitas. Gereja harus bertindak menyatakan antisipasi eskatologi kepada semua orang. Gereja tidak memiliki akhir dalam dirinya sendiri melainkan pada Kerajaan Allah</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63"/>
      </w:r>
      <w:r w:rsidRPr="00893B05">
        <w:rPr>
          <w:rFonts w:asciiTheme="majorBidi" w:hAnsiTheme="majorBidi" w:cstheme="majorBidi"/>
          <w:lang w:val="id-ID"/>
        </w:rPr>
        <w:t xml:space="preserve"> </w:t>
      </w:r>
    </w:p>
    <w:p w14:paraId="5CE0B0A5" w14:textId="539313F3" w:rsidR="009D6728" w:rsidRPr="00893B05" w:rsidRDefault="009D6728" w:rsidP="009D6728">
      <w:pPr>
        <w:pStyle w:val="KuriosKonten"/>
        <w:rPr>
          <w:rFonts w:asciiTheme="majorBidi" w:hAnsiTheme="majorBidi" w:cstheme="majorBidi"/>
          <w:lang w:val="id-ID"/>
        </w:rPr>
      </w:pPr>
      <w:r w:rsidRPr="00893B05">
        <w:rPr>
          <w:rFonts w:asciiTheme="majorBidi" w:hAnsiTheme="majorBidi" w:cstheme="majorBidi"/>
          <w:lang w:val="id-ID"/>
        </w:rPr>
        <w:t>Setelah hubungan erat antara Roh dan gereja terjalin sebagai antisipasi eskatologi, Roh memanggil gereja untuk melakukan hubungan relasional dengan sesama termasuk agama lain</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64"/>
      </w:r>
      <w:r w:rsidRPr="00893B05">
        <w:rPr>
          <w:rFonts w:asciiTheme="majorBidi" w:hAnsiTheme="majorBidi" w:cstheme="majorBidi"/>
          <w:lang w:val="id-ID"/>
        </w:rPr>
        <w:t xml:space="preserve"> Gereja mesti melihat karya Roh di luar dirinya, termasuk pada agama lain. Jika gereja tidak memperhatikan kemungkinan adanya Roh tersebut dalam agama lain, gereja akan kehilangan kemungkinan karunia Allah yang lain</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65"/>
      </w:r>
      <w:r w:rsidRPr="00893B05">
        <w:rPr>
          <w:rFonts w:asciiTheme="majorBidi" w:hAnsiTheme="majorBidi" w:cstheme="majorBidi"/>
          <w:lang w:val="id-ID"/>
        </w:rPr>
        <w:t xml:space="preserve"> </w:t>
      </w:r>
    </w:p>
    <w:p w14:paraId="2E6FAE1E" w14:textId="2DBB737C" w:rsidR="009D6728" w:rsidRDefault="009D6728" w:rsidP="003D46F5">
      <w:pPr>
        <w:pStyle w:val="KuriosKonten"/>
        <w:rPr>
          <w:rFonts w:asciiTheme="majorBidi" w:hAnsiTheme="majorBidi" w:cstheme="majorBidi"/>
          <w:lang w:val="id-ID"/>
        </w:rPr>
      </w:pPr>
      <w:r w:rsidRPr="00893B05">
        <w:rPr>
          <w:rFonts w:asciiTheme="majorBidi" w:hAnsiTheme="majorBidi" w:cstheme="majorBidi"/>
          <w:lang w:val="id-ID"/>
        </w:rPr>
        <w:t>Kehadiran Roh Kudus dalam agama-agama lain secara intrinsik bersifat trinitarian dan eklesiologis. Trinitarian merujuk pada aktivitas Roh ke salib dan kebangkitan, sedangkan eklesial merujuk peristiwa kebangkitan sebagai kekuatan konstitutif yang menciptakan komunitas. Aktivitas Roh Kudus terkait peristiwa kebangkitan memberi kuasa membentuk gereja yang merupakan komunitas dan menjalin relasi dengan dunia</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66"/>
      </w:r>
      <w:r w:rsidRPr="00893B05">
        <w:rPr>
          <w:rFonts w:asciiTheme="majorBidi" w:hAnsiTheme="majorBidi" w:cstheme="majorBidi"/>
          <w:lang w:val="id-ID"/>
        </w:rPr>
        <w:t xml:space="preserve"> </w:t>
      </w:r>
    </w:p>
    <w:p w14:paraId="33EC25D5" w14:textId="77777777" w:rsidR="00DA233C" w:rsidRPr="00893B05" w:rsidRDefault="00DA233C" w:rsidP="003D46F5">
      <w:pPr>
        <w:pStyle w:val="KuriosKonten"/>
        <w:rPr>
          <w:rFonts w:asciiTheme="majorBidi" w:hAnsiTheme="majorBidi" w:cstheme="majorBidi"/>
          <w:lang w:val="id-ID"/>
        </w:rPr>
      </w:pPr>
    </w:p>
    <w:p w14:paraId="0D77799C" w14:textId="77777777" w:rsidR="009D6728" w:rsidRPr="00893B05" w:rsidRDefault="009D6728" w:rsidP="009D6728">
      <w:pPr>
        <w:pStyle w:val="KuriosSubjudul"/>
        <w:rPr>
          <w:rFonts w:asciiTheme="majorBidi" w:hAnsiTheme="majorBidi" w:cstheme="majorBidi"/>
          <w:lang w:val="id-ID"/>
        </w:rPr>
      </w:pPr>
      <w:bookmarkStart w:id="20" w:name="_Toc40440101"/>
      <w:bookmarkStart w:id="21" w:name="_Toc40710608"/>
      <w:bookmarkStart w:id="22" w:name="_Toc41642757"/>
      <w:r w:rsidRPr="00893B05">
        <w:rPr>
          <w:rFonts w:asciiTheme="majorBidi" w:hAnsiTheme="majorBidi" w:cstheme="majorBidi"/>
          <w:lang w:val="id-ID"/>
        </w:rPr>
        <w:lastRenderedPageBreak/>
        <w:t>Karya Roh Kudus dalam Agama Lain</w:t>
      </w:r>
      <w:bookmarkEnd w:id="20"/>
      <w:bookmarkEnd w:id="21"/>
      <w:bookmarkEnd w:id="22"/>
      <w:r w:rsidRPr="00893B05">
        <w:rPr>
          <w:rFonts w:asciiTheme="majorBidi" w:hAnsiTheme="majorBidi" w:cstheme="majorBidi"/>
          <w:lang w:val="id-ID"/>
        </w:rPr>
        <w:t xml:space="preserve"> </w:t>
      </w:r>
    </w:p>
    <w:p w14:paraId="3B811ECD" w14:textId="6313B1B8" w:rsidR="009D6728" w:rsidRPr="00893B05" w:rsidRDefault="009D6728" w:rsidP="009D6728">
      <w:pPr>
        <w:pStyle w:val="KuriosKonten"/>
        <w:rPr>
          <w:rFonts w:asciiTheme="majorBidi" w:hAnsiTheme="majorBidi" w:cstheme="majorBidi"/>
          <w:lang w:val="id-ID"/>
        </w:rPr>
      </w:pPr>
      <w:r w:rsidRPr="00893B05">
        <w:rPr>
          <w:rFonts w:asciiTheme="majorBidi" w:hAnsiTheme="majorBidi" w:cstheme="majorBidi"/>
          <w:lang w:val="id-ID"/>
        </w:rPr>
        <w:t>Sehubungan dengan pandangan tersebut, pertanyaan yang kemudian muncul adalah, bagaimanakah gereja melihat Roh bekerja di dalam agama lain? Tidak ada kriteria fenomenologis sederhana yang dapat menguji kehadiran Roh Kudus. Pada akhirnya hal tersebut merupakan proses penilaian teologi dan spiritual. Dalam mempertanyakan bagaimana Roh bekerja pada agama lain, kita harus mengingat bahwa tugas kita bukan menghakimi dan bukan untuk mengendalikan Roh Kudus. Mempertanyakan apakah atau bagaimanakah Roh Kudus bekerja dalam agama lain adalah untuk mengingatkan gereja bahwa Roh Kudus tidak ada di bawah kendali manusia</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67"/>
      </w:r>
      <w:r w:rsidRPr="00893B05">
        <w:rPr>
          <w:rFonts w:asciiTheme="majorBidi" w:hAnsiTheme="majorBidi" w:cstheme="majorBidi"/>
          <w:lang w:val="id-ID"/>
        </w:rPr>
        <w:t xml:space="preserve"> </w:t>
      </w:r>
    </w:p>
    <w:p w14:paraId="63878319" w14:textId="383629E1" w:rsidR="009D6728" w:rsidRPr="00893B05" w:rsidRDefault="009D6728" w:rsidP="009D6728">
      <w:pPr>
        <w:pStyle w:val="KuriosKonten"/>
        <w:rPr>
          <w:rFonts w:asciiTheme="majorBidi" w:hAnsiTheme="majorBidi" w:cstheme="majorBidi"/>
          <w:lang w:val="id-ID"/>
        </w:rPr>
      </w:pPr>
      <w:r w:rsidRPr="00893B05">
        <w:rPr>
          <w:rFonts w:asciiTheme="majorBidi" w:hAnsiTheme="majorBidi" w:cstheme="majorBidi"/>
          <w:lang w:val="id-ID"/>
        </w:rPr>
        <w:t>Pengakuan akan karunia-karunia Allah dalam agama-agama lain berdasarkan kehadiran Roh serta pemahaman kritis akan karunia-karunia tersebut berada dalam kuasa Roh yang sama. Dengan demikian, ada dasar Trinitarian yang nyata terhadap keterbukaan kekristenan terhadap agama-agama lain yang mengikat gereja untuk melakukan dialog dengan yang lain. Dimanapun kehadiran Roh yang juga merupakan kehadiran Allah Trinitas dapat ditemukan, penegasan aktivitas Roh tersebut harus membawa gereja dengan lebih jujur ke hadirat Allah Trinitas. Kehadiran Allah Trinitas melalui Roh menjadi panggilan bagi gereja agar terlibat dengan komunitas agama lain untuk memperdalam pengenalannya akan Allah Trinitas</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68"/>
      </w:r>
      <w:r w:rsidRPr="00893B05">
        <w:rPr>
          <w:rFonts w:asciiTheme="majorBidi" w:hAnsiTheme="majorBidi" w:cstheme="majorBidi"/>
          <w:lang w:val="id-ID"/>
        </w:rPr>
        <w:t xml:space="preserve"> Di satu sisi orang Kristen terikat untuk mempertahankan kebenarannya dan di sisi lain semangat persekutuan dan keramahtamahan Trinitas mengharuskan keterbukaan terhadap karunia Roh di luar gereja. </w:t>
      </w:r>
    </w:p>
    <w:p w14:paraId="60BD541C" w14:textId="7056A651" w:rsidR="009D6728" w:rsidRPr="00893B05" w:rsidRDefault="009D6728" w:rsidP="00092865">
      <w:pPr>
        <w:pStyle w:val="KuriosKonten"/>
        <w:rPr>
          <w:rFonts w:asciiTheme="majorBidi" w:hAnsiTheme="majorBidi" w:cstheme="majorBidi"/>
          <w:lang w:val="id-ID"/>
        </w:rPr>
      </w:pPr>
      <w:r w:rsidRPr="00893B05">
        <w:rPr>
          <w:rFonts w:asciiTheme="majorBidi" w:hAnsiTheme="majorBidi" w:cstheme="majorBidi"/>
          <w:lang w:val="id-ID"/>
        </w:rPr>
        <w:t>Pengakuan atas dasar persekutuan Trinitas akan memfasilitasi keterbukaan kritis dan penuh hormat terhadap agama lain</w:t>
      </w:r>
      <w:r w:rsidR="00263648" w:rsidRPr="00893B05">
        <w:rPr>
          <w:rFonts w:asciiTheme="majorBidi" w:hAnsiTheme="majorBidi" w:cstheme="majorBidi"/>
          <w:lang w:val="id-ID"/>
        </w:rPr>
        <w:t>.</w:t>
      </w:r>
      <w:r w:rsidR="00263648" w:rsidRPr="00893B05">
        <w:rPr>
          <w:rStyle w:val="FootnoteReference"/>
          <w:rFonts w:asciiTheme="majorBidi" w:hAnsiTheme="majorBidi" w:cstheme="majorBidi"/>
          <w:lang w:val="id-ID"/>
        </w:rPr>
        <w:footnoteReference w:id="69"/>
      </w:r>
      <w:r w:rsidRPr="00893B05">
        <w:rPr>
          <w:rFonts w:asciiTheme="majorBidi" w:hAnsiTheme="majorBidi" w:cstheme="majorBidi"/>
          <w:lang w:val="id-ID"/>
        </w:rPr>
        <w:t xml:space="preserve"> Sehubungan dengan hal itu, gereja mesti melakukan tiga hal. Pertama, gereja harus mendengarkan agama lain sebagaimana mereka memahami diri mereka sendiri. Kedua, gereja harus terlibat secara kritis dengan agama lain dalam hal misi dengan mode dialektik dan retoris. Ketiga, gereja terbuka terhadap realitas gereja yang ditantang, dikembangkan, dan diperdalam pada komitmennya kepada Allah Trinitas, sejauh Allah berbicara melalui agama-agama lain</w:t>
      </w:r>
      <w:r w:rsidR="00092865" w:rsidRPr="00893B05">
        <w:rPr>
          <w:rFonts w:asciiTheme="majorBidi" w:hAnsiTheme="majorBidi" w:cstheme="majorBidi"/>
          <w:lang w:val="id-ID"/>
        </w:rPr>
        <w:t>.</w:t>
      </w:r>
      <w:r w:rsidR="00092865" w:rsidRPr="00893B05">
        <w:rPr>
          <w:rStyle w:val="FootnoteReference"/>
          <w:rFonts w:asciiTheme="majorBidi" w:hAnsiTheme="majorBidi" w:cstheme="majorBidi"/>
          <w:lang w:val="id-ID"/>
        </w:rPr>
        <w:footnoteReference w:id="70"/>
      </w:r>
      <w:r w:rsidRPr="00893B05">
        <w:rPr>
          <w:rFonts w:asciiTheme="majorBidi" w:hAnsiTheme="majorBidi" w:cstheme="majorBidi"/>
          <w:lang w:val="id-ID"/>
        </w:rPr>
        <w:t xml:space="preserve"> </w:t>
      </w:r>
    </w:p>
    <w:p w14:paraId="5A50A3F1" w14:textId="368D8856" w:rsidR="009D6728" w:rsidRPr="00893B05" w:rsidRDefault="009D6728" w:rsidP="009D6728">
      <w:pPr>
        <w:pStyle w:val="KuriosKonten"/>
        <w:rPr>
          <w:rFonts w:asciiTheme="majorBidi" w:hAnsiTheme="majorBidi" w:cstheme="majorBidi"/>
          <w:lang w:val="id-ID"/>
        </w:rPr>
      </w:pPr>
      <w:r w:rsidRPr="00893B05">
        <w:rPr>
          <w:rFonts w:asciiTheme="majorBidi" w:hAnsiTheme="majorBidi" w:cstheme="majorBidi"/>
          <w:lang w:val="id-ID"/>
        </w:rPr>
        <w:t>Tindakan saling belajar dapat membantu orang Kristen untuk mengenal yang lain dan bahkan juga mengarah pada pendalaman iman. Tindakan saling belajar, memberi dan menerima, keterlibatan kritis dan keterbukaan terhadap agama lain hanya dimungkinkan dalam relasi Trinitas yang dibimbing oleh Roh. Sebagaimana dikatakan oleh Gavin D’Costa, agama lain selalu menarik dalam perbedaan mereka</w:t>
      </w:r>
      <w:r w:rsidR="00092865" w:rsidRPr="00893B05">
        <w:rPr>
          <w:rFonts w:asciiTheme="majorBidi" w:hAnsiTheme="majorBidi" w:cstheme="majorBidi"/>
          <w:lang w:val="id-ID"/>
        </w:rPr>
        <w:t>.</w:t>
      </w:r>
      <w:r w:rsidR="00092865" w:rsidRPr="00893B05">
        <w:rPr>
          <w:rStyle w:val="FootnoteReference"/>
          <w:rFonts w:asciiTheme="majorBidi" w:hAnsiTheme="majorBidi" w:cstheme="majorBidi"/>
          <w:lang w:val="id-ID"/>
        </w:rPr>
        <w:footnoteReference w:id="71"/>
      </w:r>
      <w:r w:rsidRPr="00893B05">
        <w:rPr>
          <w:rFonts w:asciiTheme="majorBidi" w:hAnsiTheme="majorBidi" w:cstheme="majorBidi"/>
          <w:lang w:val="id-ID"/>
        </w:rPr>
        <w:t xml:space="preserve"> </w:t>
      </w:r>
    </w:p>
    <w:p w14:paraId="62AE325C" w14:textId="67C2DB21" w:rsidR="009D6728" w:rsidRPr="00893B05" w:rsidRDefault="009D6728" w:rsidP="009D6728">
      <w:pPr>
        <w:pStyle w:val="KuriosKonten"/>
        <w:rPr>
          <w:rFonts w:asciiTheme="majorBidi" w:hAnsiTheme="majorBidi" w:cstheme="majorBidi"/>
          <w:lang w:val="id-ID"/>
        </w:rPr>
      </w:pPr>
      <w:r w:rsidRPr="00893B05">
        <w:rPr>
          <w:rFonts w:asciiTheme="majorBidi" w:hAnsiTheme="majorBidi" w:cstheme="majorBidi"/>
          <w:lang w:val="id-ID"/>
        </w:rPr>
        <w:t xml:space="preserve">Kehadiran Allah Trinitas memperlihatkan persekutuan perikoretik tidak pernah terjadi dalam “lingkaran tertutup.” Relasi ilahi yang terjadi dengan gereja mengundang gereja serta kemanusiaan untuk berpartisipasi dalam tindakan perikoresis Allah Trinitas. Relasi yang </w:t>
      </w:r>
      <w:r w:rsidRPr="00893B05">
        <w:rPr>
          <w:rFonts w:asciiTheme="majorBidi" w:hAnsiTheme="majorBidi" w:cstheme="majorBidi"/>
          <w:lang w:val="id-ID"/>
        </w:rPr>
        <w:lastRenderedPageBreak/>
        <w:t>terjadi antara Allah Trinitas dengan gereja menyiratkan bahwa gereja lebih dari sekadar institusi sebab gereja harus terhubung dengan yang lain</w:t>
      </w:r>
      <w:r w:rsidR="00092865" w:rsidRPr="00893B05">
        <w:rPr>
          <w:rFonts w:asciiTheme="majorBidi" w:hAnsiTheme="majorBidi" w:cstheme="majorBidi"/>
          <w:lang w:val="id-ID"/>
        </w:rPr>
        <w:t>.</w:t>
      </w:r>
      <w:r w:rsidR="00092865" w:rsidRPr="00893B05">
        <w:rPr>
          <w:rStyle w:val="FootnoteReference"/>
          <w:rFonts w:asciiTheme="majorBidi" w:hAnsiTheme="majorBidi" w:cstheme="majorBidi"/>
          <w:lang w:val="id-ID"/>
        </w:rPr>
        <w:footnoteReference w:id="72"/>
      </w:r>
      <w:r w:rsidRPr="00893B05">
        <w:rPr>
          <w:rFonts w:asciiTheme="majorBidi" w:hAnsiTheme="majorBidi" w:cstheme="majorBidi"/>
          <w:lang w:val="id-ID"/>
        </w:rPr>
        <w:t xml:space="preserve"> Gereja harus siap memberi diri sebab anggota gereja tidak hidup untuk diri mereka sendiri tetapi untuk Allah Trinitas yang dengannya terhubung dengan orang lain. Gereja memberikan diri mereka kepada orang lain tanpa harus kehilangan identitasnya sendiri dan tidak menolak perbedaan</w:t>
      </w:r>
      <w:r w:rsidR="00092865" w:rsidRPr="00893B05">
        <w:rPr>
          <w:rFonts w:asciiTheme="majorBidi" w:hAnsiTheme="majorBidi" w:cstheme="majorBidi"/>
          <w:lang w:val="id-ID"/>
        </w:rPr>
        <w:t>.</w:t>
      </w:r>
      <w:r w:rsidR="00092865" w:rsidRPr="00893B05">
        <w:rPr>
          <w:rStyle w:val="FootnoteReference"/>
          <w:rFonts w:asciiTheme="majorBidi" w:hAnsiTheme="majorBidi" w:cstheme="majorBidi"/>
          <w:lang w:val="id-ID"/>
        </w:rPr>
        <w:footnoteReference w:id="73"/>
      </w:r>
      <w:r w:rsidRPr="00893B05">
        <w:rPr>
          <w:rFonts w:asciiTheme="majorBidi" w:hAnsiTheme="majorBidi" w:cstheme="majorBidi"/>
          <w:lang w:val="id-ID"/>
        </w:rPr>
        <w:t xml:space="preserve"> </w:t>
      </w:r>
    </w:p>
    <w:p w14:paraId="4E06B998" w14:textId="1DE37277" w:rsidR="009D6728" w:rsidRPr="00893B05" w:rsidRDefault="009D6728" w:rsidP="009D6728">
      <w:pPr>
        <w:pStyle w:val="KuriosKonten"/>
        <w:rPr>
          <w:rFonts w:asciiTheme="majorBidi" w:hAnsiTheme="majorBidi" w:cstheme="majorBidi"/>
          <w:lang w:val="id-ID"/>
        </w:rPr>
      </w:pPr>
      <w:r w:rsidRPr="00893B05">
        <w:rPr>
          <w:rFonts w:asciiTheme="majorBidi" w:hAnsiTheme="majorBidi" w:cstheme="majorBidi"/>
          <w:lang w:val="id-ID"/>
        </w:rPr>
        <w:t>Kehadiran Allah Trinitas yang tidak terbatas mengharuskan persekutuan untuk tidak menyangkal perbedaan. Orang Kristen yang datang dari perspektif tertentu didorong dan berhak untuk bersaksi tentang Allah Trinitas dan kehendak penyelamatan-Nya. Namun, pada waktu yang sama siap untuk belajar dari yang lain dengan melihat karya Roh di sana</w:t>
      </w:r>
      <w:r w:rsidR="00092865" w:rsidRPr="00893B05">
        <w:rPr>
          <w:rFonts w:asciiTheme="majorBidi" w:hAnsiTheme="majorBidi" w:cstheme="majorBidi"/>
          <w:lang w:val="id-ID"/>
        </w:rPr>
        <w:t>.</w:t>
      </w:r>
      <w:r w:rsidR="00092865" w:rsidRPr="00893B05">
        <w:rPr>
          <w:rStyle w:val="FootnoteReference"/>
          <w:rFonts w:asciiTheme="majorBidi" w:hAnsiTheme="majorBidi" w:cstheme="majorBidi"/>
          <w:lang w:val="id-ID"/>
        </w:rPr>
        <w:footnoteReference w:id="74"/>
      </w:r>
      <w:r w:rsidRPr="00893B05">
        <w:rPr>
          <w:rFonts w:asciiTheme="majorBidi" w:hAnsiTheme="majorBidi" w:cstheme="majorBidi"/>
          <w:lang w:val="id-ID"/>
        </w:rPr>
        <w:t xml:space="preserve"> Agama lain penting bagi Kristen karena mereka membantu gereja menembus lebih dalam misteri ilahi. Penegasan aktivitas Roh dalam agama-agama lain harus membawa gereja dengan lebih jujur ke hadirat Allah Trinitas</w:t>
      </w:r>
      <w:r w:rsidR="00092865" w:rsidRPr="00893B05">
        <w:rPr>
          <w:rFonts w:asciiTheme="majorBidi" w:hAnsiTheme="majorBidi" w:cstheme="majorBidi"/>
          <w:lang w:val="id-ID"/>
        </w:rPr>
        <w:t>.</w:t>
      </w:r>
      <w:r w:rsidR="00092865" w:rsidRPr="00893B05">
        <w:rPr>
          <w:rStyle w:val="FootnoteReference"/>
          <w:rFonts w:asciiTheme="majorBidi" w:hAnsiTheme="majorBidi" w:cstheme="majorBidi"/>
          <w:lang w:val="id-ID"/>
        </w:rPr>
        <w:footnoteReference w:id="75"/>
      </w:r>
      <w:r w:rsidRPr="00893B05">
        <w:rPr>
          <w:rFonts w:asciiTheme="majorBidi" w:hAnsiTheme="majorBidi" w:cstheme="majorBidi"/>
          <w:lang w:val="id-ID"/>
        </w:rPr>
        <w:t xml:space="preserve"> </w:t>
      </w:r>
    </w:p>
    <w:p w14:paraId="02FF00E6" w14:textId="6CF82FCF" w:rsidR="009D6728" w:rsidRPr="00893B05" w:rsidRDefault="009D6728" w:rsidP="00092865">
      <w:pPr>
        <w:pStyle w:val="KuriosKonten"/>
        <w:rPr>
          <w:rFonts w:asciiTheme="majorBidi" w:hAnsiTheme="majorBidi" w:cstheme="majorBidi"/>
          <w:lang w:val="id-ID"/>
        </w:rPr>
      </w:pPr>
      <w:r w:rsidRPr="00893B05">
        <w:rPr>
          <w:rFonts w:asciiTheme="majorBidi" w:hAnsiTheme="majorBidi" w:cstheme="majorBidi"/>
          <w:lang w:val="id-ID"/>
        </w:rPr>
        <w:t>Allah Trinitas yang menyatakan diri kepada manusia secara bebas mengisi semua sejarah waktu di segala tempat. Kehadiran tersebut menjadi dasar bagi Kristen untuk menyadari dirinya sebagai gambaran citra Allah yang terpanggil turut dalam antisipasi eskatologi. Kehadiran Allah Trinitas yang tidak terbatas juga menjadi dasar bagi gereja untuk melihat kehadiran Allah dalam agama lain. Kehadiran inilah yang menjadi dasar relasional gereja dengan agama lain. Gereja tidak serta merta menolak semua tradisi yang berbeda. Di dalam perbedaan tersebut justru Kristen diperkaya dalam pengenalan Allah Trinitas yang misteri dan semakin dimungkinkan untuk melihat wajah Allah yang berbeda.</w:t>
      </w:r>
    </w:p>
    <w:p w14:paraId="61CFA0E2" w14:textId="77777777" w:rsidR="00893B05" w:rsidRPr="00893B05" w:rsidRDefault="00893B05" w:rsidP="00893B05">
      <w:pPr>
        <w:pStyle w:val="KuriosKonten"/>
        <w:rPr>
          <w:lang w:val="id-ID"/>
        </w:rPr>
      </w:pPr>
      <w:r w:rsidRPr="00893B05">
        <w:rPr>
          <w:rFonts w:asciiTheme="majorBidi" w:hAnsiTheme="majorBidi" w:cstheme="majorBidi"/>
          <w:lang w:val="id-ID"/>
        </w:rPr>
        <w:t>Pribadi-pribadi Trinitas membentuk kesatuan mereka sendiri dalam sirkulasi kesatuan ilahi yang mereka penuhi dalam hubungan mereka satu sama lain. Perbedaan dari ketiga pribadi itu terletak pada proses kehidupan mereka yang bersifat relasional dan sempurna. Pribadi-pribadi itu tidak dapat dan tidak boleh direduksi menjadi satu.</w:t>
      </w:r>
      <w:r w:rsidRPr="00893B05">
        <w:rPr>
          <w:rStyle w:val="FootnoteReference"/>
          <w:rFonts w:asciiTheme="majorBidi" w:hAnsiTheme="majorBidi" w:cstheme="majorBidi"/>
          <w:lang w:val="id-ID"/>
        </w:rPr>
        <w:footnoteReference w:id="76"/>
      </w:r>
      <w:r w:rsidRPr="00893B05">
        <w:rPr>
          <w:rFonts w:asciiTheme="majorBidi" w:hAnsiTheme="majorBidi" w:cstheme="majorBidi"/>
          <w:lang w:val="id-ID"/>
        </w:rPr>
        <w:t xml:space="preserve"> Konstitutif setiap pribadi Trinitas harus dilihat bersamaan dengan dua pribadi lainnya dan sebagai relasinya dengan mereka. Dunia pada gilirannya tidak muncul sebagai penyingkapan diri dari subjek ilahi yang menjadikan dunia, melainkan sebagai kebebasan Tuhan untuk menciptakan dunia yang berbeda dari Tuhan.</w:t>
      </w:r>
      <w:r w:rsidRPr="00893B05">
        <w:rPr>
          <w:rStyle w:val="FootnoteReference"/>
          <w:rFonts w:asciiTheme="majorBidi" w:hAnsiTheme="majorBidi" w:cstheme="majorBidi"/>
          <w:lang w:val="id-ID"/>
        </w:rPr>
        <w:footnoteReference w:id="77"/>
      </w:r>
      <w:r w:rsidRPr="00893B05">
        <w:rPr>
          <w:rFonts w:asciiTheme="majorBidi" w:hAnsiTheme="majorBidi" w:cstheme="majorBidi"/>
          <w:lang w:val="id-ID"/>
        </w:rPr>
        <w:t xml:space="preserve"> </w:t>
      </w:r>
      <w:r w:rsidRPr="00893B05">
        <w:rPr>
          <w:lang w:val="id-ID"/>
        </w:rPr>
        <w:t>Kehadiran Allah Trinitas yang tidak terbatas menjadi dasar bagi gereja melakukan relasi dengan yang lain. Gereja sebagai komunitas yang dibentuk oleh Roh Kudus terpanggil untuk melihat karya Roh di luar gereja.</w:t>
      </w:r>
      <w:r w:rsidRPr="00893B05">
        <w:rPr>
          <w:rStyle w:val="FootnoteReference"/>
          <w:lang w:val="id-ID"/>
        </w:rPr>
        <w:footnoteReference w:id="78"/>
      </w:r>
      <w:r w:rsidRPr="00893B05">
        <w:rPr>
          <w:lang w:val="id-ID"/>
        </w:rPr>
        <w:t xml:space="preserve"> </w:t>
      </w:r>
    </w:p>
    <w:p w14:paraId="755BE726" w14:textId="77777777" w:rsidR="00893B05" w:rsidRPr="00893B05" w:rsidRDefault="00893B05" w:rsidP="00893B05">
      <w:pPr>
        <w:pStyle w:val="KuriosKonten"/>
        <w:rPr>
          <w:lang w:val="id-ID"/>
        </w:rPr>
      </w:pPr>
      <w:r w:rsidRPr="00893B05">
        <w:rPr>
          <w:lang w:val="id-ID"/>
        </w:rPr>
        <w:t xml:space="preserve">Untuk penerapan trinitarian pneumatologis ada beberapa hal yang harus diperhatikan. Pertama, trinitarian merupakan pemahaman yang membedakan ajaran tentang Allah dalam kekristenan dengan ajaran yang lain. Allah yang disembah orang Kristen adalah Bapa, Anak </w:t>
      </w:r>
      <w:r w:rsidRPr="00893B05">
        <w:rPr>
          <w:lang w:val="id-ID"/>
        </w:rPr>
        <w:lastRenderedPageBreak/>
        <w:t>dan Roh Kudus. Kedua, cara kehadiran Roh di dunia adalah Trinitas. Roh tidak terpisah dari hubungannya dengan Allah dan Anak. Ketiga, Roh dan Kristus membentuk satu ekonomi ilahi. Roh selalu berkarya untuk persekutuan. Keempat, dalam perspektif kekristenan Roh menciptakan komunitas, yaitu gereja yang secara integral terhubung dengan Allah Trinitas. Kelima, Roh mengundang gereja untuk terlibat secara relasional dengan agama-agama.</w:t>
      </w:r>
      <w:r w:rsidRPr="00893B05">
        <w:rPr>
          <w:rStyle w:val="FootnoteReference"/>
          <w:lang w:val="id-ID"/>
        </w:rPr>
        <w:footnoteReference w:id="79"/>
      </w:r>
      <w:r w:rsidRPr="00893B05">
        <w:rPr>
          <w:lang w:val="id-ID"/>
        </w:rPr>
        <w:t xml:space="preserve"> </w:t>
      </w:r>
    </w:p>
    <w:p w14:paraId="6D967401" w14:textId="77777777" w:rsidR="004832D0" w:rsidRPr="00893B05" w:rsidRDefault="00893B05" w:rsidP="004832D0">
      <w:pPr>
        <w:pStyle w:val="KuriosKonten"/>
        <w:rPr>
          <w:rFonts w:asciiTheme="majorBidi" w:hAnsiTheme="majorBidi" w:cstheme="majorBidi"/>
          <w:lang w:val="id-ID"/>
        </w:rPr>
      </w:pPr>
      <w:r w:rsidRPr="00893B05">
        <w:rPr>
          <w:lang w:val="id-ID"/>
        </w:rPr>
        <w:t xml:space="preserve">Berdasarkan teologi trinitarian pneumatologis, Trinitas ada dalam kesatuan persekutuan dengan tetap memelihara keberagaman. Allah Trinitas hadir dan berkarya dalam sejarah secara bebas. Trinitarian pneumatologis menjadi salah satu pendekatan bagi Kristen menuju gereja yang terbuka bagi keberagaman. </w:t>
      </w:r>
      <w:r w:rsidR="004832D0" w:rsidRPr="00893B05">
        <w:rPr>
          <w:rFonts w:asciiTheme="majorBidi" w:hAnsiTheme="majorBidi" w:cstheme="majorBidi"/>
          <w:lang w:val="id-ID"/>
        </w:rPr>
        <w:t>Orang Kristen harus terlibat dalam dialog untuk membangun pengenalan satu sama lain ataupun untuk menentukan sikap bersama dalam menghadapi keberagaman. Selain itu, terdapat dua alasan teologis yang mengharuskan Kristen untuk melakukan dialog dan keterlibatan akan yang lain. Pertama, sifat monoteistik agama-agama Ibrahim. Monoteisme selalu menegaskan kesamaan termasuk untuk Tuhan yang disembahnya. Agama dengan pengakuan monoteis tidak rela jika terdapat ilah paralel lainnya. Dengan demikian pernyataan kebenaran universal dapat menciptakan pertentangan karena tidak ada penganut agama mana pun yang menyukai ketika mereka dianggap salah dalam kepercayaannya. Monoteisme akan mengalami kesulitan untuk toleran terhadap agama lain bahkan kerap akan menjadi intoleran. Dengan demikian pada prinsipnya tidak ada sudut pandang eksternal yang boleh dipandang buruk sebelum mengadakan pertemuan. Semua agama ada diposisi yang sama, yaitu saling belajar.</w:t>
      </w:r>
      <w:r w:rsidR="004832D0" w:rsidRPr="00893B05">
        <w:rPr>
          <w:rStyle w:val="FootnoteReference"/>
          <w:rFonts w:asciiTheme="majorBidi" w:hAnsiTheme="majorBidi" w:cstheme="majorBidi"/>
          <w:lang w:val="id-ID"/>
        </w:rPr>
        <w:footnoteReference w:id="80"/>
      </w:r>
      <w:r w:rsidR="004832D0" w:rsidRPr="00893B05">
        <w:rPr>
          <w:rFonts w:asciiTheme="majorBidi" w:hAnsiTheme="majorBidi" w:cstheme="majorBidi"/>
          <w:lang w:val="id-ID"/>
        </w:rPr>
        <w:t xml:space="preserve"> Kedua, keterlibatan pada agama lain terletak pada asal mula yang sama dan tujuan umat manusia yang sama. Tuhan menciptakan semua umat manusia untuk hidup di atas bumi secara bersama-sama dan memiliki tujuan akhir yang sama, yaitu Tuhan.</w:t>
      </w:r>
      <w:r w:rsidR="004832D0" w:rsidRPr="00893B05">
        <w:rPr>
          <w:rStyle w:val="FootnoteReference"/>
          <w:rFonts w:asciiTheme="majorBidi" w:hAnsiTheme="majorBidi" w:cstheme="majorBidi"/>
          <w:lang w:val="id-ID"/>
        </w:rPr>
        <w:footnoteReference w:id="81"/>
      </w:r>
      <w:r w:rsidR="004832D0" w:rsidRPr="00893B05">
        <w:rPr>
          <w:rFonts w:asciiTheme="majorBidi" w:hAnsiTheme="majorBidi" w:cstheme="majorBidi"/>
          <w:lang w:val="id-ID"/>
        </w:rPr>
        <w:t xml:space="preserve"> </w:t>
      </w:r>
    </w:p>
    <w:p w14:paraId="61BF8FF8" w14:textId="3FED2999" w:rsidR="00893B05" w:rsidRPr="00893B05" w:rsidRDefault="00893B05" w:rsidP="00893B05">
      <w:pPr>
        <w:pStyle w:val="KuriosKonten"/>
        <w:rPr>
          <w:lang w:val="id-ID"/>
        </w:rPr>
      </w:pPr>
    </w:p>
    <w:p w14:paraId="6AFFD791" w14:textId="07CAEF1C" w:rsidR="002B030C" w:rsidRPr="00893B05" w:rsidRDefault="002B030C" w:rsidP="009D6728">
      <w:pPr>
        <w:pStyle w:val="KuriosSubjudul"/>
        <w:rPr>
          <w:rFonts w:asciiTheme="majorBidi" w:hAnsiTheme="majorBidi" w:cstheme="majorBidi"/>
          <w:lang w:val="id-ID"/>
        </w:rPr>
      </w:pPr>
      <w:r w:rsidRPr="00893B05">
        <w:rPr>
          <w:rFonts w:asciiTheme="majorBidi" w:hAnsiTheme="majorBidi" w:cstheme="majorBidi"/>
          <w:lang w:val="id-ID"/>
        </w:rPr>
        <w:t>IV. Kesimpulan dan Saran</w:t>
      </w:r>
    </w:p>
    <w:p w14:paraId="14F2F263" w14:textId="77777777" w:rsidR="00C843A3" w:rsidRPr="00893B05" w:rsidRDefault="00C843A3" w:rsidP="00C843A3">
      <w:pPr>
        <w:pStyle w:val="KuriosKonten"/>
        <w:rPr>
          <w:rFonts w:asciiTheme="majorBidi" w:hAnsiTheme="majorBidi" w:cstheme="majorBidi"/>
          <w:lang w:val="id-ID"/>
        </w:rPr>
      </w:pPr>
      <w:r w:rsidRPr="00893B05">
        <w:rPr>
          <w:rFonts w:asciiTheme="majorBidi" w:hAnsiTheme="majorBidi" w:cstheme="majorBidi"/>
          <w:lang w:val="id-ID"/>
        </w:rPr>
        <w:t>Allah Trinitas menyajikan teologi yang kuat tentang karunia dan keramahtamahan Allah baik dalam hubungan Bapa, Anak, dan Roh juga hubungan Allah Trinitas dengan dunia. Allah Trinitas saling menyambut hubungan dan keterikatan satu dengan yang lain dalam keramahtamahan serta menyambut dunia dalam hubungan yang dipulihkan oleh cinta. Tuhan memberikan keberadaan-Nya sendiri sebagai hadiah utama kepada dunia.</w:t>
      </w:r>
      <w:r w:rsidRPr="00893B05">
        <w:rPr>
          <w:rStyle w:val="FootnoteReference"/>
          <w:rFonts w:asciiTheme="majorBidi" w:hAnsiTheme="majorBidi" w:cstheme="majorBidi"/>
          <w:lang w:val="id-ID"/>
        </w:rPr>
        <w:footnoteReference w:id="82"/>
      </w:r>
      <w:r w:rsidRPr="00893B05">
        <w:rPr>
          <w:rFonts w:asciiTheme="majorBidi" w:hAnsiTheme="majorBidi" w:cstheme="majorBidi"/>
          <w:lang w:val="id-ID"/>
        </w:rPr>
        <w:t xml:space="preserve"> Gereja harus menyajikan keramahtamahan yang saling menerima dalam cinta dan menghormati perbedaan. Dalam keramahtamahan yang didasarkan pada penyambutan Allah kepada manusia terjadi ruang untuk saling berbagi keyakinan secara jujur dan otentik.</w:t>
      </w:r>
      <w:r w:rsidRPr="00893B05">
        <w:rPr>
          <w:rStyle w:val="FootnoteReference"/>
          <w:rFonts w:asciiTheme="majorBidi" w:hAnsiTheme="majorBidi" w:cstheme="majorBidi"/>
          <w:lang w:val="id-ID"/>
        </w:rPr>
        <w:footnoteReference w:id="83"/>
      </w:r>
      <w:r w:rsidRPr="00893B05">
        <w:rPr>
          <w:rFonts w:asciiTheme="majorBidi" w:hAnsiTheme="majorBidi" w:cstheme="majorBidi"/>
          <w:lang w:val="id-ID"/>
        </w:rPr>
        <w:t xml:space="preserve"> </w:t>
      </w:r>
    </w:p>
    <w:p w14:paraId="47496A00" w14:textId="77777777" w:rsidR="00C843A3" w:rsidRPr="00893B05" w:rsidRDefault="00C843A3" w:rsidP="00C843A3">
      <w:pPr>
        <w:pStyle w:val="KuriosKonten"/>
        <w:rPr>
          <w:rFonts w:asciiTheme="majorBidi" w:hAnsiTheme="majorBidi" w:cstheme="majorBidi"/>
          <w:lang w:val="id-ID"/>
        </w:rPr>
      </w:pPr>
      <w:r w:rsidRPr="00893B05">
        <w:rPr>
          <w:rFonts w:asciiTheme="majorBidi" w:hAnsiTheme="majorBidi" w:cstheme="majorBidi"/>
          <w:lang w:val="id-ID"/>
        </w:rPr>
        <w:lastRenderedPageBreak/>
        <w:t>Kerangka trinitarian pneumatologis menolong untuk melihat hubungan karya penyelamatan dan pengutusan manusia dalam hospitalitas Allah. Kehidupan Kristen adalah kehidupan yang bergerak menuju kepada tujuan. Dalam karya penyelamatan Allah Trinitas, Roh memanggil manusia untuk terlibat dalam panggilan misi Allah di dunia.</w:t>
      </w:r>
      <w:r w:rsidRPr="00893B05">
        <w:rPr>
          <w:rStyle w:val="FootnoteReference"/>
          <w:rFonts w:asciiTheme="majorBidi" w:hAnsiTheme="majorBidi" w:cstheme="majorBidi"/>
          <w:lang w:val="id-ID"/>
        </w:rPr>
        <w:footnoteReference w:id="84"/>
      </w:r>
      <w:r w:rsidRPr="00893B05">
        <w:rPr>
          <w:rFonts w:asciiTheme="majorBidi" w:hAnsiTheme="majorBidi" w:cstheme="majorBidi"/>
          <w:lang w:val="id-ID"/>
        </w:rPr>
        <w:t xml:space="preserve"> </w:t>
      </w:r>
    </w:p>
    <w:p w14:paraId="66745804" w14:textId="77777777" w:rsidR="00C843A3" w:rsidRPr="00893B05" w:rsidRDefault="00C843A3" w:rsidP="00C843A3">
      <w:pPr>
        <w:pStyle w:val="KuriosKonten"/>
        <w:rPr>
          <w:rFonts w:asciiTheme="majorBidi" w:hAnsiTheme="majorBidi" w:cstheme="majorBidi"/>
          <w:lang w:val="id-ID"/>
        </w:rPr>
      </w:pPr>
      <w:r w:rsidRPr="00893B05">
        <w:rPr>
          <w:rFonts w:asciiTheme="majorBidi" w:hAnsiTheme="majorBidi" w:cstheme="majorBidi"/>
          <w:lang w:val="id-ID"/>
        </w:rPr>
        <w:t>Dalam menjalankan panggilan misi dari Allah gereja perlu memperhatikan pelaksanaannya yang berdampingan dengan dialog. Misi memberitakan kabar baik tentang karya penyelamatan Yesus dan dibutuhkan sikap yang rela berdialog untuk memberitakannya dengan agama lain. Pertemuan dengan yang lain tidak berarti melepaskan klaim kebenaran seseorang tetapi lebih melibatkan penyelidikan yang penuh dengan kesabaran mempelajari perbedaan dan persamaan. Dibutuhkan kesabaran untuk mendengar kesaksian yang lain dan memberikan ruang aman bagi yang lain. Dalam waktu yang sama, orang Kristen juga harus menyaksikan Allah Trinitas yang menyelamatkan. Semua orang Kristen memiliki hak untuk bersaksi tentang Injil di depan semua orang tetapi harus jauh dari unsur respons ketidakbebasan.</w:t>
      </w:r>
      <w:r w:rsidRPr="00893B05">
        <w:rPr>
          <w:rStyle w:val="FootnoteReference"/>
          <w:rFonts w:asciiTheme="majorBidi" w:hAnsiTheme="majorBidi" w:cstheme="majorBidi"/>
          <w:lang w:val="id-ID"/>
        </w:rPr>
        <w:footnoteReference w:id="85"/>
      </w:r>
      <w:r w:rsidRPr="00893B05">
        <w:rPr>
          <w:rFonts w:asciiTheme="majorBidi" w:hAnsiTheme="majorBidi" w:cstheme="majorBidi"/>
          <w:lang w:val="id-ID"/>
        </w:rPr>
        <w:t xml:space="preserve"> </w:t>
      </w:r>
    </w:p>
    <w:p w14:paraId="68B4ABB7" w14:textId="77777777" w:rsidR="004832D0" w:rsidRDefault="004832D0" w:rsidP="004832D0">
      <w:pPr>
        <w:pStyle w:val="KuriosKonten"/>
        <w:rPr>
          <w:rFonts w:asciiTheme="majorBidi" w:hAnsiTheme="majorBidi" w:cstheme="majorBidi"/>
        </w:rPr>
      </w:pPr>
      <w:r w:rsidRPr="00893B05">
        <w:rPr>
          <w:rFonts w:asciiTheme="majorBidi" w:hAnsiTheme="majorBidi" w:cstheme="majorBidi"/>
          <w:lang w:val="id-ID"/>
        </w:rPr>
        <w:t xml:space="preserve">Namun demikian, kita juga melihat </w:t>
      </w:r>
      <w:r>
        <w:rPr>
          <w:rFonts w:asciiTheme="majorBidi" w:hAnsiTheme="majorBidi" w:cstheme="majorBidi"/>
        </w:rPr>
        <w:t xml:space="preserve">dua poin </w:t>
      </w:r>
      <w:r w:rsidRPr="00893B05">
        <w:rPr>
          <w:rFonts w:asciiTheme="majorBidi" w:hAnsiTheme="majorBidi" w:cstheme="majorBidi"/>
          <w:lang w:val="id-ID"/>
        </w:rPr>
        <w:t xml:space="preserve">penting yang mungkin akan menjadi kelemahan dari pandangan ini terutama dalam hal penerapannya. </w:t>
      </w:r>
      <w:r>
        <w:rPr>
          <w:rFonts w:asciiTheme="majorBidi" w:hAnsiTheme="majorBidi" w:cstheme="majorBidi"/>
        </w:rPr>
        <w:t>Pertama, pandangan ini sebenarnya lebih bicara kepada orang Kristen dan bukan kepada non-Kristen. Pemahaman trinitarian-pneumatologis hanya bisa menjadi titik berangkat kepada gereja, namun akan sulit untuk dijelaskan kepada penganut agama-agama lain. Karena itu, konsep ini pada akhirnya hanya bisa diajar secara internal, dan memerlukan pembahasan lebih lanjut untuk bisa menjadi titik dasar dialog antarumat beragam.</w:t>
      </w:r>
    </w:p>
    <w:p w14:paraId="762C7593" w14:textId="7CB0891A" w:rsidR="004832D0" w:rsidRDefault="004832D0" w:rsidP="004832D0">
      <w:pPr>
        <w:pStyle w:val="KuriosKonten"/>
        <w:rPr>
          <w:rFonts w:asciiTheme="majorBidi" w:hAnsiTheme="majorBidi" w:cstheme="majorBidi"/>
        </w:rPr>
      </w:pPr>
      <w:r>
        <w:rPr>
          <w:rFonts w:asciiTheme="majorBidi" w:hAnsiTheme="majorBidi" w:cstheme="majorBidi"/>
        </w:rPr>
        <w:t xml:space="preserve">Kedua, pada akhirnya, kita bisa juga mengelompokkan pandangan ini dalam pola triporal inklusif dengan pengembangan yang lebih lanjut di bagian karya Roh Kudus dalam dunia ini. Pada akhirnya, seperti pandangan inklusif, penilaian mengenai kebenaran sesungguhnya tetap menjadi hak Allah semata, kita meyakini bahwa Allah Tritunggal bekerja dalam sejarah manusia. </w:t>
      </w:r>
    </w:p>
    <w:p w14:paraId="2FB4A300" w14:textId="1B88ABED" w:rsidR="003232F3" w:rsidRDefault="002B030C" w:rsidP="004E38EE">
      <w:pPr>
        <w:pStyle w:val="KuriosSubjudul"/>
        <w:rPr>
          <w:rFonts w:asciiTheme="majorBidi" w:hAnsiTheme="majorBidi" w:cstheme="majorBidi"/>
          <w:lang w:val="id-ID"/>
        </w:rPr>
      </w:pPr>
      <w:r w:rsidRPr="00893B05">
        <w:rPr>
          <w:rFonts w:asciiTheme="majorBidi" w:hAnsiTheme="majorBidi" w:cstheme="majorBidi"/>
          <w:lang w:val="id-ID"/>
        </w:rPr>
        <w:t>V. Daftar Referensi</w:t>
      </w:r>
    </w:p>
    <w:p w14:paraId="6242FDD2" w14:textId="3D5E5F88"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Pr>
          <w:rFonts w:asciiTheme="majorBidi" w:hAnsiTheme="majorBidi" w:cstheme="majorBidi"/>
        </w:rPr>
        <w:fldChar w:fldCharType="begin" w:fldLock="1"/>
      </w:r>
      <w:r>
        <w:rPr>
          <w:rFonts w:asciiTheme="majorBidi" w:hAnsiTheme="majorBidi" w:cstheme="majorBidi"/>
        </w:rPr>
        <w:instrText xml:space="preserve">ADDIN Mendeley Bibliography CSL_BIBLIOGRAPHY </w:instrText>
      </w:r>
      <w:r>
        <w:rPr>
          <w:rFonts w:asciiTheme="majorBidi" w:hAnsiTheme="majorBidi" w:cstheme="majorBidi"/>
        </w:rPr>
        <w:fldChar w:fldCharType="separate"/>
      </w:r>
      <w:r w:rsidRPr="002D001B">
        <w:rPr>
          <w:rFonts w:ascii="Times New Roman" w:hAnsi="Times New Roman" w:cs="Times New Roman"/>
          <w:noProof/>
          <w:sz w:val="24"/>
          <w:szCs w:val="24"/>
        </w:rPr>
        <w:t xml:space="preserve">Adiprasetya, Joas. </w:t>
      </w:r>
      <w:r w:rsidRPr="002D001B">
        <w:rPr>
          <w:rFonts w:ascii="Times New Roman" w:hAnsi="Times New Roman" w:cs="Times New Roman"/>
          <w:i/>
          <w:iCs/>
          <w:noProof/>
          <w:sz w:val="24"/>
          <w:szCs w:val="24"/>
        </w:rPr>
        <w:t xml:space="preserve">An Imaginative Glimpse: Trinitas </w:t>
      </w:r>
      <w:r>
        <w:rPr>
          <w:rFonts w:ascii="Times New Roman" w:hAnsi="Times New Roman" w:cs="Times New Roman"/>
          <w:i/>
          <w:iCs/>
          <w:noProof/>
          <w:sz w:val="24"/>
          <w:szCs w:val="24"/>
          <w:lang w:val="en-ID"/>
        </w:rPr>
        <w:t>d</w:t>
      </w:r>
      <w:r w:rsidRPr="002D001B">
        <w:rPr>
          <w:rFonts w:ascii="Times New Roman" w:hAnsi="Times New Roman" w:cs="Times New Roman"/>
          <w:i/>
          <w:iCs/>
          <w:noProof/>
          <w:sz w:val="24"/>
          <w:szCs w:val="24"/>
        </w:rPr>
        <w:t>an Agama-Agama</w:t>
      </w:r>
      <w:r w:rsidRPr="002D001B">
        <w:rPr>
          <w:rFonts w:ascii="Times New Roman" w:hAnsi="Times New Roman" w:cs="Times New Roman"/>
          <w:noProof/>
          <w:sz w:val="24"/>
          <w:szCs w:val="24"/>
        </w:rPr>
        <w:t>. Jakarta: BPK Gunung Mulia, 2018.</w:t>
      </w:r>
    </w:p>
    <w:p w14:paraId="3F105880" w14:textId="7F673C06"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Banawiratma, B J. “Mengembangkan Teologi Agama-Agama.” </w:t>
      </w:r>
      <w:r>
        <w:rPr>
          <w:rFonts w:ascii="Times New Roman" w:hAnsi="Times New Roman" w:cs="Times New Roman"/>
          <w:noProof/>
          <w:sz w:val="24"/>
          <w:szCs w:val="24"/>
          <w:lang w:val="en-ID"/>
        </w:rPr>
        <w:t>Dalam</w:t>
      </w: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Meretas Jalan Teologi Agama-Agama Di Indonesia</w:t>
      </w:r>
      <w:r w:rsidRPr="002D001B">
        <w:rPr>
          <w:rFonts w:ascii="Times New Roman" w:hAnsi="Times New Roman" w:cs="Times New Roman"/>
          <w:noProof/>
          <w:sz w:val="24"/>
          <w:szCs w:val="24"/>
        </w:rPr>
        <w:t>, 9th ed. Jakarta: BPK Gunung Mulia, 2007.</w:t>
      </w:r>
    </w:p>
    <w:p w14:paraId="711FFFF6"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D’Costa, Gavin. </w:t>
      </w:r>
      <w:r w:rsidRPr="002D001B">
        <w:rPr>
          <w:rFonts w:ascii="Times New Roman" w:hAnsi="Times New Roman" w:cs="Times New Roman"/>
          <w:i/>
          <w:iCs/>
          <w:noProof/>
          <w:sz w:val="24"/>
          <w:szCs w:val="24"/>
        </w:rPr>
        <w:t>The Meeting of Religions and the Trinity: Faith Meets Faith</w:t>
      </w: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Faith Meets Faith Series</w:t>
      </w:r>
      <w:r w:rsidRPr="002D001B">
        <w:rPr>
          <w:rFonts w:ascii="Times New Roman" w:hAnsi="Times New Roman" w:cs="Times New Roman"/>
          <w:noProof/>
          <w:sz w:val="24"/>
          <w:szCs w:val="24"/>
        </w:rPr>
        <w:t>. Maryknoll, N.Y: Orbis Books, 2000.</w:t>
      </w:r>
    </w:p>
    <w:p w14:paraId="73AB7BEC" w14:textId="01C0BD78"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 “The New Evangelization and Other Religions: Facing Three Objections to Evangelization in Regard to the World Religions.” </w:t>
      </w:r>
      <w:r>
        <w:rPr>
          <w:rFonts w:ascii="Times New Roman" w:hAnsi="Times New Roman" w:cs="Times New Roman"/>
          <w:noProof/>
          <w:sz w:val="24"/>
          <w:szCs w:val="24"/>
          <w:lang w:val="en-ID"/>
        </w:rPr>
        <w:t>Dalam</w:t>
      </w: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The New Evangelization : Faith, People, Context and Practice</w:t>
      </w:r>
      <w:r w:rsidRPr="002D001B">
        <w:rPr>
          <w:rFonts w:ascii="Times New Roman" w:hAnsi="Times New Roman" w:cs="Times New Roman"/>
          <w:noProof/>
          <w:sz w:val="24"/>
          <w:szCs w:val="24"/>
        </w:rPr>
        <w:t xml:space="preserve">, edited by Paul Grogan and Kirsteen Kim, 1st ed., 179–96. London: Bloomsbury Academic, 2015. </w:t>
      </w:r>
      <w:r w:rsidRPr="002D001B">
        <w:rPr>
          <w:rFonts w:ascii="Times New Roman" w:hAnsi="Times New Roman" w:cs="Times New Roman"/>
          <w:noProof/>
          <w:sz w:val="24"/>
          <w:szCs w:val="24"/>
        </w:rPr>
        <w:lastRenderedPageBreak/>
        <w:t>http://www.bloomsburycollections.com/book/the-new-evangelization-faith-people-context-and-practice/ch11-the-new-evangelization-and-other-religions-facing-three-objections-to-evangelization-in-regard-to-the-world-religions/.</w:t>
      </w:r>
    </w:p>
    <w:p w14:paraId="14BDFACF" w14:textId="686F4DFF"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Damascus, John of. “Exposition of the Orthodox Faith.” </w:t>
      </w:r>
      <w:r>
        <w:rPr>
          <w:rFonts w:ascii="Times New Roman" w:hAnsi="Times New Roman" w:cs="Times New Roman"/>
          <w:noProof/>
          <w:sz w:val="24"/>
          <w:szCs w:val="24"/>
          <w:lang w:val="en-ID"/>
        </w:rPr>
        <w:t>Dalam</w:t>
      </w: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Nicene and Post-Nicene Fathers</w:t>
      </w:r>
      <w:r w:rsidRPr="002D001B">
        <w:rPr>
          <w:rFonts w:ascii="Times New Roman" w:hAnsi="Times New Roman" w:cs="Times New Roman"/>
          <w:noProof/>
          <w:sz w:val="24"/>
          <w:szCs w:val="24"/>
        </w:rPr>
        <w:t>, Vol. IX. Dua. New York: Cosimo, 2007.</w:t>
      </w:r>
    </w:p>
    <w:p w14:paraId="574B843B"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Dupuis, Jacques. </w:t>
      </w:r>
      <w:r w:rsidRPr="002D001B">
        <w:rPr>
          <w:rFonts w:ascii="Times New Roman" w:hAnsi="Times New Roman" w:cs="Times New Roman"/>
          <w:i/>
          <w:iCs/>
          <w:noProof/>
          <w:sz w:val="24"/>
          <w:szCs w:val="24"/>
        </w:rPr>
        <w:t>Toward a Christian Theology of Religious Pluralism</w:t>
      </w:r>
      <w:r w:rsidRPr="002D001B">
        <w:rPr>
          <w:rFonts w:ascii="Times New Roman" w:hAnsi="Times New Roman" w:cs="Times New Roman"/>
          <w:noProof/>
          <w:sz w:val="24"/>
          <w:szCs w:val="24"/>
        </w:rPr>
        <w:t>. Maryknoll, NY: Orbis Books, 2006.</w:t>
      </w:r>
    </w:p>
    <w:p w14:paraId="071CABA5"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Fletcher, Jeannine Hill. “Religious Pluralism in an Era of Globalization: The Making of Modern Religious Identity.” </w:t>
      </w:r>
      <w:r w:rsidRPr="002D001B">
        <w:rPr>
          <w:rFonts w:ascii="Times New Roman" w:hAnsi="Times New Roman" w:cs="Times New Roman"/>
          <w:i/>
          <w:iCs/>
          <w:noProof/>
          <w:sz w:val="24"/>
          <w:szCs w:val="24"/>
        </w:rPr>
        <w:t>Theological Studies</w:t>
      </w:r>
      <w:r w:rsidRPr="002D001B">
        <w:rPr>
          <w:rFonts w:ascii="Times New Roman" w:hAnsi="Times New Roman" w:cs="Times New Roman"/>
          <w:noProof/>
          <w:sz w:val="24"/>
          <w:szCs w:val="24"/>
        </w:rPr>
        <w:t xml:space="preserve"> 69, no. 2 (February 3, 2008): 394–411. https://doi.org/10.1177/004056390806900209.</w:t>
      </w:r>
    </w:p>
    <w:p w14:paraId="71F1951B"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Grenz, Stanley. </w:t>
      </w:r>
      <w:r w:rsidRPr="002D001B">
        <w:rPr>
          <w:rFonts w:ascii="Times New Roman" w:hAnsi="Times New Roman" w:cs="Times New Roman"/>
          <w:i/>
          <w:iCs/>
          <w:noProof/>
          <w:sz w:val="24"/>
          <w:szCs w:val="24"/>
        </w:rPr>
        <w:t>Reason for Hope: The Systematic Theology of Wolfhart Pannenberg</w:t>
      </w:r>
      <w:r w:rsidRPr="002D001B">
        <w:rPr>
          <w:rFonts w:ascii="Times New Roman" w:hAnsi="Times New Roman" w:cs="Times New Roman"/>
          <w:noProof/>
          <w:sz w:val="24"/>
          <w:szCs w:val="24"/>
        </w:rPr>
        <w:t>. 2nd ed. New York: Oxford University Press, 2005.</w:t>
      </w:r>
    </w:p>
    <w:p w14:paraId="5BF2278A"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Heim, S. Mark. </w:t>
      </w:r>
      <w:r w:rsidRPr="002D001B">
        <w:rPr>
          <w:rFonts w:ascii="Times New Roman" w:hAnsi="Times New Roman" w:cs="Times New Roman"/>
          <w:i/>
          <w:iCs/>
          <w:noProof/>
          <w:sz w:val="24"/>
          <w:szCs w:val="24"/>
        </w:rPr>
        <w:t>The Depth of the Riches: A Trinitarian Theology of Religious Ends</w:t>
      </w:r>
      <w:r w:rsidRPr="002D001B">
        <w:rPr>
          <w:rFonts w:ascii="Times New Roman" w:hAnsi="Times New Roman" w:cs="Times New Roman"/>
          <w:noProof/>
          <w:sz w:val="24"/>
          <w:szCs w:val="24"/>
        </w:rPr>
        <w:t>. Grand Rapids, Mich: W.B. Eerdmans, 2001.</w:t>
      </w:r>
    </w:p>
    <w:p w14:paraId="73E3C759"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Johnson, Elizabeth. </w:t>
      </w:r>
      <w:r w:rsidRPr="002D001B">
        <w:rPr>
          <w:rFonts w:ascii="Times New Roman" w:hAnsi="Times New Roman" w:cs="Times New Roman"/>
          <w:i/>
          <w:iCs/>
          <w:noProof/>
          <w:sz w:val="24"/>
          <w:szCs w:val="24"/>
        </w:rPr>
        <w:t>She Who Is: The Mystery of God in Feminist Theological Discourse</w:t>
      </w:r>
      <w:r w:rsidRPr="002D001B">
        <w:rPr>
          <w:rFonts w:ascii="Times New Roman" w:hAnsi="Times New Roman" w:cs="Times New Roman"/>
          <w:noProof/>
          <w:sz w:val="24"/>
          <w:szCs w:val="24"/>
        </w:rPr>
        <w:t>. 10th anniv. New York: Crossroad, 2002.</w:t>
      </w:r>
    </w:p>
    <w:p w14:paraId="0463A8F5"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Kärkkäinen, Veli-Matti. </w:t>
      </w:r>
      <w:r w:rsidRPr="002D001B">
        <w:rPr>
          <w:rFonts w:ascii="Times New Roman" w:hAnsi="Times New Roman" w:cs="Times New Roman"/>
          <w:i/>
          <w:iCs/>
          <w:noProof/>
          <w:sz w:val="24"/>
          <w:szCs w:val="24"/>
        </w:rPr>
        <w:t>An Introduction to the Theology of Religions: Biblical, Historical &amp; Contemporary Perspectives</w:t>
      </w:r>
      <w:r w:rsidRPr="002D001B">
        <w:rPr>
          <w:rFonts w:ascii="Times New Roman" w:hAnsi="Times New Roman" w:cs="Times New Roman"/>
          <w:noProof/>
          <w:sz w:val="24"/>
          <w:szCs w:val="24"/>
        </w:rPr>
        <w:t>. Paperback. Westmont, Illinois: IVP Academic, 2003.</w:t>
      </w:r>
    </w:p>
    <w:p w14:paraId="7E5569C9"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Christ and Reconciliation: A Constructive Christian Theology for the Pluralistic World</w:t>
      </w: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A Constructive Christian Theology for the Pluralistic World</w:t>
      </w:r>
      <w:r w:rsidRPr="002D001B">
        <w:rPr>
          <w:rFonts w:ascii="Times New Roman" w:hAnsi="Times New Roman" w:cs="Times New Roman"/>
          <w:noProof/>
          <w:sz w:val="24"/>
          <w:szCs w:val="24"/>
        </w:rPr>
        <w:t>. Grand Rapids, Michigan: William B. Eerdmans Pub. Co, 2013.</w:t>
      </w:r>
    </w:p>
    <w:p w14:paraId="2DC8395C"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Christian Theology in the Pluralistic World: A Global Introduction</w:t>
      </w:r>
      <w:r w:rsidRPr="002D001B">
        <w:rPr>
          <w:rFonts w:ascii="Times New Roman" w:hAnsi="Times New Roman" w:cs="Times New Roman"/>
          <w:noProof/>
          <w:sz w:val="24"/>
          <w:szCs w:val="24"/>
        </w:rPr>
        <w:t>. Grand Rapids, Michigan: Eerdmans Publishing Co, 2019.</w:t>
      </w:r>
    </w:p>
    <w:p w14:paraId="754D4347"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Hope and Community: A Constructive Christian Theology for the Pluralistic World</w:t>
      </w: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A Constructive Christian Theology for the Pluralistic World</w:t>
      </w:r>
      <w:r w:rsidRPr="002D001B">
        <w:rPr>
          <w:rFonts w:ascii="Times New Roman" w:hAnsi="Times New Roman" w:cs="Times New Roman"/>
          <w:noProof/>
          <w:sz w:val="24"/>
          <w:szCs w:val="24"/>
        </w:rPr>
        <w:t>. Grand Rapids, Michigan: William B. Eerdmans Publishing Company, 2017.</w:t>
      </w:r>
    </w:p>
    <w:p w14:paraId="301AF839" w14:textId="7865D228"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 “How to Speak of the Spirit among Religions: Trinitarian ‘Rules’ for a Pneumatological Theology of Religions.” </w:t>
      </w:r>
      <w:r w:rsidRPr="002D001B">
        <w:rPr>
          <w:rFonts w:ascii="Times New Roman" w:hAnsi="Times New Roman" w:cs="Times New Roman"/>
          <w:i/>
          <w:iCs/>
          <w:noProof/>
          <w:sz w:val="24"/>
          <w:szCs w:val="24"/>
        </w:rPr>
        <w:t>International Bulletin of Missionary Research</w:t>
      </w:r>
      <w:r w:rsidRPr="002D001B">
        <w:rPr>
          <w:rFonts w:ascii="Times New Roman" w:hAnsi="Times New Roman" w:cs="Times New Roman"/>
          <w:noProof/>
          <w:sz w:val="24"/>
          <w:szCs w:val="24"/>
        </w:rPr>
        <w:t xml:space="preserve"> 30, no. 3 (July 1, 2006): 121–</w:t>
      </w:r>
      <w:r w:rsidR="009D3F48">
        <w:rPr>
          <w:rFonts w:ascii="Times New Roman" w:hAnsi="Times New Roman" w:cs="Times New Roman"/>
          <w:noProof/>
          <w:sz w:val="24"/>
          <w:szCs w:val="24"/>
          <w:lang w:val="en-ID"/>
        </w:rPr>
        <w:t>1</w:t>
      </w:r>
      <w:r w:rsidRPr="002D001B">
        <w:rPr>
          <w:rFonts w:ascii="Times New Roman" w:hAnsi="Times New Roman" w:cs="Times New Roman"/>
          <w:noProof/>
          <w:sz w:val="24"/>
          <w:szCs w:val="24"/>
        </w:rPr>
        <w:t>27. https://doi.org/10.1177/239693930603000302.</w:t>
      </w:r>
    </w:p>
    <w:p w14:paraId="15B17F3F"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Spirit and Salvation: A Constructive Christian Theology for the Pluralistic World</w:t>
      </w: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A Constructive Christian Theology for the Pluralistic World CN - BT121.3 .K374 2016</w:t>
      </w:r>
      <w:r w:rsidRPr="002D001B">
        <w:rPr>
          <w:rFonts w:ascii="Times New Roman" w:hAnsi="Times New Roman" w:cs="Times New Roman"/>
          <w:noProof/>
          <w:sz w:val="24"/>
          <w:szCs w:val="24"/>
        </w:rPr>
        <w:t>. Grand Rapids, Michigan: William B. Eerdmans Publishing Company, 2016.</w:t>
      </w:r>
    </w:p>
    <w:p w14:paraId="556B53E0"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Trinity and Revelation: A Constructive Christian Theology for the Pluralistic World</w:t>
      </w: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A Constructive Christian Theology for the Pluralistic World CN - BT111.3 K36 2014</w:t>
      </w:r>
      <w:r w:rsidRPr="002D001B">
        <w:rPr>
          <w:rFonts w:ascii="Times New Roman" w:hAnsi="Times New Roman" w:cs="Times New Roman"/>
          <w:noProof/>
          <w:sz w:val="24"/>
          <w:szCs w:val="24"/>
        </w:rPr>
        <w:t>. Grand Rapids, Michigan: William B. Eerdmans Publishing Company, 2014.</w:t>
      </w:r>
    </w:p>
    <w:p w14:paraId="117D96DD"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Kärkkäinen, Veli-Matti, Kirsteen Kim, and Amos Yong. </w:t>
      </w:r>
      <w:r w:rsidRPr="002D001B">
        <w:rPr>
          <w:rFonts w:ascii="Times New Roman" w:hAnsi="Times New Roman" w:cs="Times New Roman"/>
          <w:i/>
          <w:iCs/>
          <w:noProof/>
          <w:sz w:val="24"/>
          <w:szCs w:val="24"/>
        </w:rPr>
        <w:t>Interdisciplinary and Religio-Cultural Discourses on a Spirit-Filled World: Loosing the Spirits</w:t>
      </w:r>
      <w:r w:rsidRPr="002D001B">
        <w:rPr>
          <w:rFonts w:ascii="Times New Roman" w:hAnsi="Times New Roman" w:cs="Times New Roman"/>
          <w:noProof/>
          <w:sz w:val="24"/>
          <w:szCs w:val="24"/>
        </w:rPr>
        <w:t>. New York, NY: Palgrave Macmillan, 2013. http://site.ebrary.com/id/10858216.</w:t>
      </w:r>
    </w:p>
    <w:p w14:paraId="1A1151A3"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Kärkkäinen, Velli-Matti. </w:t>
      </w:r>
      <w:r w:rsidRPr="002D001B">
        <w:rPr>
          <w:rFonts w:ascii="Times New Roman" w:hAnsi="Times New Roman" w:cs="Times New Roman"/>
          <w:i/>
          <w:iCs/>
          <w:noProof/>
          <w:sz w:val="24"/>
          <w:szCs w:val="24"/>
        </w:rPr>
        <w:t>Trinity and Religious Pluralism: The Doctrine of the Trinity in Christian Theology of Religions</w:t>
      </w:r>
      <w:r w:rsidRPr="002D001B">
        <w:rPr>
          <w:rFonts w:ascii="Times New Roman" w:hAnsi="Times New Roman" w:cs="Times New Roman"/>
          <w:noProof/>
          <w:sz w:val="24"/>
          <w:szCs w:val="24"/>
        </w:rPr>
        <w:t>. Abingdon, UK: Taylor &amp; Francis, 2017.</w:t>
      </w:r>
    </w:p>
    <w:p w14:paraId="25759A48"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Knitter, Paul F. </w:t>
      </w:r>
      <w:r w:rsidRPr="002D001B">
        <w:rPr>
          <w:rFonts w:ascii="Times New Roman" w:hAnsi="Times New Roman" w:cs="Times New Roman"/>
          <w:i/>
          <w:iCs/>
          <w:noProof/>
          <w:sz w:val="24"/>
          <w:szCs w:val="24"/>
        </w:rPr>
        <w:t>Menggugat Arogansi Kekristenan</w:t>
      </w:r>
      <w:r w:rsidRPr="002D001B">
        <w:rPr>
          <w:rFonts w:ascii="Times New Roman" w:hAnsi="Times New Roman" w:cs="Times New Roman"/>
          <w:noProof/>
          <w:sz w:val="24"/>
          <w:szCs w:val="24"/>
        </w:rPr>
        <w:t>. Yogyakarta: Kanisius, 2005.</w:t>
      </w:r>
    </w:p>
    <w:p w14:paraId="2BAC7B3F"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No Other Name? A Critical Survey of Christian Attitudes Toward the World Religions</w:t>
      </w: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American Society of Missiology Series</w:t>
      </w:r>
      <w:r w:rsidRPr="002D001B">
        <w:rPr>
          <w:rFonts w:ascii="Times New Roman" w:hAnsi="Times New Roman" w:cs="Times New Roman"/>
          <w:noProof/>
          <w:sz w:val="24"/>
          <w:szCs w:val="24"/>
        </w:rPr>
        <w:t>. Maryknoll, N.Y: Orbis Books, 1985.</w:t>
      </w:r>
    </w:p>
    <w:p w14:paraId="1300F77B"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lastRenderedPageBreak/>
        <w:t xml:space="preserve">———. </w:t>
      </w:r>
      <w:r w:rsidRPr="002D001B">
        <w:rPr>
          <w:rFonts w:ascii="Times New Roman" w:hAnsi="Times New Roman" w:cs="Times New Roman"/>
          <w:i/>
          <w:iCs/>
          <w:noProof/>
          <w:sz w:val="24"/>
          <w:szCs w:val="24"/>
        </w:rPr>
        <w:t>Pengantar Teologi Agama-agama</w:t>
      </w:r>
      <w:r w:rsidRPr="002D001B">
        <w:rPr>
          <w:rFonts w:ascii="Times New Roman" w:hAnsi="Times New Roman" w:cs="Times New Roman"/>
          <w:noProof/>
          <w:sz w:val="24"/>
          <w:szCs w:val="24"/>
        </w:rPr>
        <w:t>. Yogyakarta: Kanisius, 2008.</w:t>
      </w:r>
    </w:p>
    <w:p w14:paraId="2722EA20"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Without Buddha I Could Not Be a Christian</w:t>
      </w:r>
      <w:r w:rsidRPr="002D001B">
        <w:rPr>
          <w:rFonts w:ascii="Times New Roman" w:hAnsi="Times New Roman" w:cs="Times New Roman"/>
          <w:noProof/>
          <w:sz w:val="24"/>
          <w:szCs w:val="24"/>
        </w:rPr>
        <w:t>. Oxford: Oneworld, 2011.</w:t>
      </w:r>
    </w:p>
    <w:p w14:paraId="017C8932"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Macchia, Frank D. </w:t>
      </w:r>
      <w:r w:rsidRPr="002D001B">
        <w:rPr>
          <w:rFonts w:ascii="Times New Roman" w:hAnsi="Times New Roman" w:cs="Times New Roman"/>
          <w:i/>
          <w:iCs/>
          <w:noProof/>
          <w:sz w:val="24"/>
          <w:szCs w:val="24"/>
        </w:rPr>
        <w:t>Justified in the Spirit: Creation, Redemption, and the Triune God</w:t>
      </w: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Pentecostal Manifestos CN  - BT764.3 .M33 2010</w:t>
      </w:r>
      <w:r w:rsidRPr="002D001B">
        <w:rPr>
          <w:rFonts w:ascii="Times New Roman" w:hAnsi="Times New Roman" w:cs="Times New Roman"/>
          <w:noProof/>
          <w:sz w:val="24"/>
          <w:szCs w:val="24"/>
        </w:rPr>
        <w:t>. Grand Rapids, Mich: William B. Eerdmans Pub. Company, 2010.</w:t>
      </w:r>
    </w:p>
    <w:p w14:paraId="21A80627"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McDonald, Suzanne. </w:t>
      </w:r>
      <w:r w:rsidRPr="002D001B">
        <w:rPr>
          <w:rFonts w:ascii="Times New Roman" w:hAnsi="Times New Roman" w:cs="Times New Roman"/>
          <w:i/>
          <w:iCs/>
          <w:noProof/>
          <w:sz w:val="24"/>
          <w:szCs w:val="24"/>
        </w:rPr>
        <w:t>Re-Imaging Election: Divine Election as Representing God to Others and Others to God</w:t>
      </w:r>
      <w:r w:rsidRPr="002D001B">
        <w:rPr>
          <w:rFonts w:ascii="Times New Roman" w:hAnsi="Times New Roman" w:cs="Times New Roman"/>
          <w:noProof/>
          <w:sz w:val="24"/>
          <w:szCs w:val="24"/>
        </w:rPr>
        <w:t>. Cambridge, U.K. ; Grand Rapids, Mich: Wm. B. Eerdmans Pub, 2010.</w:t>
      </w:r>
    </w:p>
    <w:p w14:paraId="4600C87B"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Min, Anselm Kyongsuk. </w:t>
      </w:r>
      <w:r w:rsidRPr="002D001B">
        <w:rPr>
          <w:rFonts w:ascii="Times New Roman" w:hAnsi="Times New Roman" w:cs="Times New Roman"/>
          <w:i/>
          <w:iCs/>
          <w:noProof/>
          <w:sz w:val="24"/>
          <w:szCs w:val="24"/>
        </w:rPr>
        <w:t>The Solidarity of Others in a Divided World: A Postmodern Theology after Postmodernism</w:t>
      </w:r>
      <w:r w:rsidRPr="002D001B">
        <w:rPr>
          <w:rFonts w:ascii="Times New Roman" w:hAnsi="Times New Roman" w:cs="Times New Roman"/>
          <w:noProof/>
          <w:sz w:val="24"/>
          <w:szCs w:val="24"/>
        </w:rPr>
        <w:t>. New York; London: T&amp;T Clark International, 2004.</w:t>
      </w:r>
    </w:p>
    <w:p w14:paraId="2717F283"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Moltmann, Jürgen. </w:t>
      </w:r>
      <w:r w:rsidRPr="002D001B">
        <w:rPr>
          <w:rFonts w:ascii="Times New Roman" w:hAnsi="Times New Roman" w:cs="Times New Roman"/>
          <w:i/>
          <w:iCs/>
          <w:noProof/>
          <w:sz w:val="24"/>
          <w:szCs w:val="24"/>
        </w:rPr>
        <w:t>The Trinity and the Kingdom of God: The Doctrine of God</w:t>
      </w:r>
      <w:r w:rsidRPr="002D001B">
        <w:rPr>
          <w:rFonts w:ascii="Times New Roman" w:hAnsi="Times New Roman" w:cs="Times New Roman"/>
          <w:noProof/>
          <w:sz w:val="24"/>
          <w:szCs w:val="24"/>
        </w:rPr>
        <w:t>. London: SCM Press, 2005.</w:t>
      </w:r>
    </w:p>
    <w:p w14:paraId="5CBF42E3"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Moyaert, Marianne. </w:t>
      </w:r>
      <w:r w:rsidRPr="002D001B">
        <w:rPr>
          <w:rFonts w:ascii="Times New Roman" w:hAnsi="Times New Roman" w:cs="Times New Roman"/>
          <w:i/>
          <w:iCs/>
          <w:noProof/>
          <w:sz w:val="24"/>
          <w:szCs w:val="24"/>
        </w:rPr>
        <w:t>Fragile Identities: Towards a Theology of Interreligious Hospitality</w:t>
      </w: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Currents of Encounter</w:t>
      </w:r>
      <w:r w:rsidRPr="002D001B">
        <w:rPr>
          <w:rFonts w:ascii="Times New Roman" w:hAnsi="Times New Roman" w:cs="Times New Roman"/>
          <w:noProof/>
          <w:sz w:val="24"/>
          <w:szCs w:val="24"/>
        </w:rPr>
        <w:t>. Amsterdam; New York: Rodopi, 2011.</w:t>
      </w:r>
    </w:p>
    <w:p w14:paraId="3075DA41"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Pannenberg, Wolfhart. </w:t>
      </w:r>
      <w:r w:rsidRPr="002D001B">
        <w:rPr>
          <w:rFonts w:ascii="Times New Roman" w:hAnsi="Times New Roman" w:cs="Times New Roman"/>
          <w:i/>
          <w:iCs/>
          <w:noProof/>
          <w:sz w:val="24"/>
          <w:szCs w:val="24"/>
        </w:rPr>
        <w:t>Systematic Theology</w:t>
      </w:r>
      <w:r w:rsidRPr="002D001B">
        <w:rPr>
          <w:rFonts w:ascii="Times New Roman" w:hAnsi="Times New Roman" w:cs="Times New Roman"/>
          <w:noProof/>
          <w:sz w:val="24"/>
          <w:szCs w:val="24"/>
        </w:rPr>
        <w:t>. Paperback. Vol. 3. Grand Rapids, Michigan: William B. Eerdmans Publishing Company, 2009.</w:t>
      </w:r>
    </w:p>
    <w:p w14:paraId="3442B6A5"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Race, Alan. </w:t>
      </w:r>
      <w:r w:rsidRPr="002D001B">
        <w:rPr>
          <w:rFonts w:ascii="Times New Roman" w:hAnsi="Times New Roman" w:cs="Times New Roman"/>
          <w:i/>
          <w:iCs/>
          <w:noProof/>
          <w:sz w:val="24"/>
          <w:szCs w:val="24"/>
        </w:rPr>
        <w:t>Christians and Religious Pluralism: Patterns in the Christian Theology of Religions</w:t>
      </w:r>
      <w:r w:rsidRPr="002D001B">
        <w:rPr>
          <w:rFonts w:ascii="Times New Roman" w:hAnsi="Times New Roman" w:cs="Times New Roman"/>
          <w:noProof/>
          <w:sz w:val="24"/>
          <w:szCs w:val="24"/>
        </w:rPr>
        <w:t>. 2nd ed. London: SCM Press, 1983.</w:t>
      </w:r>
    </w:p>
    <w:p w14:paraId="7E65B945"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Rachmadi, Simon. </w:t>
      </w:r>
      <w:r w:rsidRPr="002D001B">
        <w:rPr>
          <w:rFonts w:ascii="Times New Roman" w:hAnsi="Times New Roman" w:cs="Times New Roman"/>
          <w:i/>
          <w:iCs/>
          <w:noProof/>
          <w:sz w:val="24"/>
          <w:szCs w:val="24"/>
        </w:rPr>
        <w:t>Theologia in Loco: Di Tengah Jalinan Antar-Peradaban</w:t>
      </w:r>
      <w:r w:rsidRPr="002D001B">
        <w:rPr>
          <w:rFonts w:ascii="Times New Roman" w:hAnsi="Times New Roman" w:cs="Times New Roman"/>
          <w:noProof/>
          <w:sz w:val="24"/>
          <w:szCs w:val="24"/>
        </w:rPr>
        <w:t>. Jakarta: STFT Jakarta bekerja sama dengan BPK Gunung Mulia, 2019.</w:t>
      </w:r>
    </w:p>
    <w:p w14:paraId="1F818A66"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Rose, Kenneth. </w:t>
      </w:r>
      <w:r w:rsidRPr="002D001B">
        <w:rPr>
          <w:rFonts w:ascii="Times New Roman" w:hAnsi="Times New Roman" w:cs="Times New Roman"/>
          <w:i/>
          <w:iCs/>
          <w:noProof/>
          <w:sz w:val="24"/>
          <w:szCs w:val="24"/>
        </w:rPr>
        <w:t>Pluralism: The Future of Religion</w:t>
      </w:r>
      <w:r w:rsidRPr="002D001B">
        <w:rPr>
          <w:rFonts w:ascii="Times New Roman" w:hAnsi="Times New Roman" w:cs="Times New Roman"/>
          <w:noProof/>
          <w:sz w:val="24"/>
          <w:szCs w:val="24"/>
        </w:rPr>
        <w:t>. New York: Bloomsbury, 2014.</w:t>
      </w:r>
    </w:p>
    <w:p w14:paraId="47A7281F" w14:textId="46AA9552"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Strange, Daniel. “Perilous Exchange, Precious Good News: A Reformed ‘Subversive Fulfilment’ Interpretation of Other Religions.” </w:t>
      </w:r>
      <w:r w:rsidR="009D3F48">
        <w:rPr>
          <w:rFonts w:ascii="Times New Roman" w:hAnsi="Times New Roman" w:cs="Times New Roman"/>
          <w:noProof/>
          <w:sz w:val="24"/>
          <w:szCs w:val="24"/>
          <w:lang w:val="en-ID"/>
        </w:rPr>
        <w:t>Dalam</w:t>
      </w: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Only One Way? Three Christian Responses to the Uniqueness of Christ in a Religiously Pluralist World</w:t>
      </w:r>
      <w:r w:rsidRPr="002D001B">
        <w:rPr>
          <w:rFonts w:ascii="Times New Roman" w:hAnsi="Times New Roman" w:cs="Times New Roman"/>
          <w:noProof/>
          <w:sz w:val="24"/>
          <w:szCs w:val="24"/>
        </w:rPr>
        <w:t>, edited by Gavin D’Costa, Paul Knitter, and Daniel Strange, 91–138. London: SCM Press, 2011.</w:t>
      </w:r>
    </w:p>
    <w:p w14:paraId="72BB0886" w14:textId="3965DB9D"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Subandrijo, Bambang. </w:t>
      </w:r>
      <w:r w:rsidRPr="002D001B">
        <w:rPr>
          <w:rFonts w:ascii="Times New Roman" w:hAnsi="Times New Roman" w:cs="Times New Roman"/>
          <w:i/>
          <w:iCs/>
          <w:noProof/>
          <w:sz w:val="24"/>
          <w:szCs w:val="24"/>
        </w:rPr>
        <w:t xml:space="preserve">Yesus, Sang Titik Temu </w:t>
      </w:r>
      <w:r w:rsidR="009D3F48">
        <w:rPr>
          <w:rFonts w:ascii="Times New Roman" w:hAnsi="Times New Roman" w:cs="Times New Roman"/>
          <w:i/>
          <w:iCs/>
          <w:noProof/>
          <w:sz w:val="24"/>
          <w:szCs w:val="24"/>
          <w:lang w:val="en-ID"/>
        </w:rPr>
        <w:t>d</w:t>
      </w:r>
      <w:r w:rsidRPr="002D001B">
        <w:rPr>
          <w:rFonts w:ascii="Times New Roman" w:hAnsi="Times New Roman" w:cs="Times New Roman"/>
          <w:i/>
          <w:iCs/>
          <w:noProof/>
          <w:sz w:val="24"/>
          <w:szCs w:val="24"/>
        </w:rPr>
        <w:t xml:space="preserve">an Titik Tengkar: Sebuah Studi </w:t>
      </w:r>
      <w:r w:rsidR="009D3F48">
        <w:rPr>
          <w:rFonts w:ascii="Times New Roman" w:hAnsi="Times New Roman" w:cs="Times New Roman"/>
          <w:i/>
          <w:iCs/>
          <w:noProof/>
          <w:sz w:val="24"/>
          <w:szCs w:val="24"/>
          <w:lang w:val="en-ID"/>
        </w:rPr>
        <w:t>t</w:t>
      </w:r>
      <w:r w:rsidRPr="002D001B">
        <w:rPr>
          <w:rFonts w:ascii="Times New Roman" w:hAnsi="Times New Roman" w:cs="Times New Roman"/>
          <w:i/>
          <w:iCs/>
          <w:noProof/>
          <w:sz w:val="24"/>
          <w:szCs w:val="24"/>
        </w:rPr>
        <w:t xml:space="preserve">entang Pandangan Kristen </w:t>
      </w:r>
      <w:r w:rsidR="009D3F48">
        <w:rPr>
          <w:rFonts w:ascii="Times New Roman" w:hAnsi="Times New Roman" w:cs="Times New Roman"/>
          <w:i/>
          <w:iCs/>
          <w:noProof/>
          <w:sz w:val="24"/>
          <w:szCs w:val="24"/>
          <w:lang w:val="en-ID"/>
        </w:rPr>
        <w:t>d</w:t>
      </w:r>
      <w:r w:rsidRPr="002D001B">
        <w:rPr>
          <w:rFonts w:ascii="Times New Roman" w:hAnsi="Times New Roman" w:cs="Times New Roman"/>
          <w:i/>
          <w:iCs/>
          <w:noProof/>
          <w:sz w:val="24"/>
          <w:szCs w:val="24"/>
        </w:rPr>
        <w:t xml:space="preserve">an Muslim </w:t>
      </w:r>
      <w:r w:rsidR="009D3F48">
        <w:rPr>
          <w:rFonts w:ascii="Times New Roman" w:hAnsi="Times New Roman" w:cs="Times New Roman"/>
          <w:i/>
          <w:iCs/>
          <w:noProof/>
          <w:sz w:val="24"/>
          <w:szCs w:val="24"/>
          <w:lang w:val="en-ID"/>
        </w:rPr>
        <w:t>d</w:t>
      </w:r>
      <w:r w:rsidRPr="002D001B">
        <w:rPr>
          <w:rFonts w:ascii="Times New Roman" w:hAnsi="Times New Roman" w:cs="Times New Roman"/>
          <w:i/>
          <w:iCs/>
          <w:noProof/>
          <w:sz w:val="24"/>
          <w:szCs w:val="24"/>
        </w:rPr>
        <w:t xml:space="preserve">i Indonesia </w:t>
      </w:r>
      <w:r w:rsidR="009D3F48">
        <w:rPr>
          <w:rFonts w:ascii="Times New Roman" w:hAnsi="Times New Roman" w:cs="Times New Roman"/>
          <w:i/>
          <w:iCs/>
          <w:noProof/>
          <w:sz w:val="24"/>
          <w:szCs w:val="24"/>
          <w:lang w:val="en-ID"/>
        </w:rPr>
        <w:t>m</w:t>
      </w:r>
      <w:r w:rsidRPr="002D001B">
        <w:rPr>
          <w:rFonts w:ascii="Times New Roman" w:hAnsi="Times New Roman" w:cs="Times New Roman"/>
          <w:i/>
          <w:iCs/>
          <w:noProof/>
          <w:sz w:val="24"/>
          <w:szCs w:val="24"/>
        </w:rPr>
        <w:t>engenai Yesus</w:t>
      </w:r>
      <w:r w:rsidRPr="002D001B">
        <w:rPr>
          <w:rFonts w:ascii="Times New Roman" w:hAnsi="Times New Roman" w:cs="Times New Roman"/>
          <w:noProof/>
          <w:sz w:val="24"/>
          <w:szCs w:val="24"/>
        </w:rPr>
        <w:t>. Jakarta: BPK Gunung Mulia, 2016.</w:t>
      </w:r>
    </w:p>
    <w:p w14:paraId="0C42DFAA"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Tertullian. </w:t>
      </w:r>
      <w:r w:rsidRPr="002D001B">
        <w:rPr>
          <w:rFonts w:ascii="Times New Roman" w:hAnsi="Times New Roman" w:cs="Times New Roman"/>
          <w:i/>
          <w:iCs/>
          <w:noProof/>
          <w:sz w:val="24"/>
          <w:szCs w:val="24"/>
        </w:rPr>
        <w:t>Against Praxeas</w:t>
      </w:r>
      <w:r w:rsidRPr="002D001B">
        <w:rPr>
          <w:rFonts w:ascii="Times New Roman" w:hAnsi="Times New Roman" w:cs="Times New Roman"/>
          <w:noProof/>
          <w:sz w:val="24"/>
          <w:szCs w:val="24"/>
        </w:rPr>
        <w:t>. Tatian: Aeterne Press, 2015.</w:t>
      </w:r>
    </w:p>
    <w:p w14:paraId="7C8B2E48"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Torrance, Thomas F. </w:t>
      </w:r>
      <w:r w:rsidRPr="002D001B">
        <w:rPr>
          <w:rFonts w:ascii="Times New Roman" w:hAnsi="Times New Roman" w:cs="Times New Roman"/>
          <w:i/>
          <w:iCs/>
          <w:noProof/>
          <w:sz w:val="24"/>
          <w:szCs w:val="24"/>
        </w:rPr>
        <w:t>Space, Time and Resurrection</w:t>
      </w:r>
      <w:r w:rsidRPr="002D001B">
        <w:rPr>
          <w:rFonts w:ascii="Times New Roman" w:hAnsi="Times New Roman" w:cs="Times New Roman"/>
          <w:noProof/>
          <w:sz w:val="24"/>
          <w:szCs w:val="24"/>
        </w:rPr>
        <w:t>. Edinburgh: T &amp; T Clark, 2019.</w:t>
      </w:r>
    </w:p>
    <w:p w14:paraId="027B82D6"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Toth, Interview by Viktor J. “‘A Theology of Everything’ for a Pluralistic World.” </w:t>
      </w:r>
      <w:r w:rsidRPr="002D001B">
        <w:rPr>
          <w:rFonts w:ascii="Times New Roman" w:hAnsi="Times New Roman" w:cs="Times New Roman"/>
          <w:i/>
          <w:iCs/>
          <w:noProof/>
          <w:sz w:val="24"/>
          <w:szCs w:val="24"/>
        </w:rPr>
        <w:t>ChristianityToday.Com</w:t>
      </w:r>
      <w:r w:rsidRPr="002D001B">
        <w:rPr>
          <w:rFonts w:ascii="Times New Roman" w:hAnsi="Times New Roman" w:cs="Times New Roman"/>
          <w:noProof/>
          <w:sz w:val="24"/>
          <w:szCs w:val="24"/>
        </w:rPr>
        <w:t>, November 19, 2019. https://www.christianitytoday.com/ct/2019/february-web-only/veli-matti-krkkinen-interview-theology-of-everything.html.</w:t>
      </w:r>
    </w:p>
    <w:p w14:paraId="5756F6D3" w14:textId="169CC580"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Trigg, Roger. </w:t>
      </w:r>
      <w:r w:rsidRPr="002D001B">
        <w:rPr>
          <w:rFonts w:ascii="Times New Roman" w:hAnsi="Times New Roman" w:cs="Times New Roman"/>
          <w:i/>
          <w:iCs/>
          <w:noProof/>
          <w:sz w:val="24"/>
          <w:szCs w:val="24"/>
        </w:rPr>
        <w:t>Religious Diversity: Philosophical and Political Dimensions</w:t>
      </w: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 xml:space="preserve">Cambridge </w:t>
      </w:r>
      <w:r w:rsidRPr="009D3F48">
        <w:rPr>
          <w:rFonts w:ascii="Times New Roman" w:hAnsi="Times New Roman" w:cs="Times New Roman"/>
          <w:noProof/>
          <w:sz w:val="24"/>
          <w:szCs w:val="24"/>
        </w:rPr>
        <w:t>Studies in Religion, Philosophy, and Society</w:t>
      </w:r>
      <w:r w:rsidRPr="002D001B">
        <w:rPr>
          <w:rFonts w:ascii="Times New Roman" w:hAnsi="Times New Roman" w:cs="Times New Roman"/>
          <w:noProof/>
          <w:sz w:val="24"/>
          <w:szCs w:val="24"/>
        </w:rPr>
        <w:t>. New York, NY: Cambridge University Press, 2014.</w:t>
      </w:r>
    </w:p>
    <w:p w14:paraId="3E47E781" w14:textId="77777777"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Welker, Michael. </w:t>
      </w:r>
      <w:r w:rsidRPr="002D001B">
        <w:rPr>
          <w:rFonts w:ascii="Times New Roman" w:hAnsi="Times New Roman" w:cs="Times New Roman"/>
          <w:i/>
          <w:iCs/>
          <w:noProof/>
          <w:sz w:val="24"/>
          <w:szCs w:val="24"/>
        </w:rPr>
        <w:t>God the Spirit</w:t>
      </w:r>
      <w:r w:rsidRPr="002D001B">
        <w:rPr>
          <w:rFonts w:ascii="Times New Roman" w:hAnsi="Times New Roman" w:cs="Times New Roman"/>
          <w:noProof/>
          <w:sz w:val="24"/>
          <w:szCs w:val="24"/>
        </w:rPr>
        <w:t>. Eugene, Or.: Wipf and Stock, 2013.</w:t>
      </w:r>
    </w:p>
    <w:p w14:paraId="67890B17" w14:textId="1C6CD7BA" w:rsidR="002D001B" w:rsidRPr="002D001B" w:rsidRDefault="002D001B" w:rsidP="002D001B">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D001B">
        <w:rPr>
          <w:rFonts w:ascii="Times New Roman" w:hAnsi="Times New Roman" w:cs="Times New Roman"/>
          <w:noProof/>
          <w:sz w:val="24"/>
          <w:szCs w:val="24"/>
        </w:rPr>
        <w:t xml:space="preserve">Yong, Amos. </w:t>
      </w:r>
      <w:r w:rsidRPr="002D001B">
        <w:rPr>
          <w:rFonts w:ascii="Times New Roman" w:hAnsi="Times New Roman" w:cs="Times New Roman"/>
          <w:i/>
          <w:iCs/>
          <w:noProof/>
          <w:sz w:val="24"/>
          <w:szCs w:val="24"/>
        </w:rPr>
        <w:t xml:space="preserve">Beyond the Impasse: Toward </w:t>
      </w:r>
      <w:r w:rsidR="009D3F48">
        <w:rPr>
          <w:rFonts w:ascii="Times New Roman" w:hAnsi="Times New Roman" w:cs="Times New Roman"/>
          <w:i/>
          <w:iCs/>
          <w:noProof/>
          <w:sz w:val="24"/>
          <w:szCs w:val="24"/>
          <w:lang w:val="en-ID"/>
        </w:rPr>
        <w:t>a</w:t>
      </w:r>
      <w:r w:rsidRPr="002D001B">
        <w:rPr>
          <w:rFonts w:ascii="Times New Roman" w:hAnsi="Times New Roman" w:cs="Times New Roman"/>
          <w:i/>
          <w:iCs/>
          <w:noProof/>
          <w:sz w:val="24"/>
          <w:szCs w:val="24"/>
        </w:rPr>
        <w:t xml:space="preserve"> Pneumatological Theology of Religions</w:t>
      </w:r>
      <w:r w:rsidRPr="002D001B">
        <w:rPr>
          <w:rFonts w:ascii="Times New Roman" w:hAnsi="Times New Roman" w:cs="Times New Roman"/>
          <w:noProof/>
          <w:sz w:val="24"/>
          <w:szCs w:val="24"/>
        </w:rPr>
        <w:t>. Eugene, Or.: Wipf &amp; Stock, 2014.</w:t>
      </w:r>
    </w:p>
    <w:p w14:paraId="653851C7" w14:textId="753C5159" w:rsidR="004832D0" w:rsidRPr="00893B05" w:rsidRDefault="002D001B" w:rsidP="009D3F48">
      <w:pPr>
        <w:widowControl w:val="0"/>
        <w:autoSpaceDE w:val="0"/>
        <w:autoSpaceDN w:val="0"/>
        <w:adjustRightInd w:val="0"/>
        <w:spacing w:before="100" w:after="100" w:line="240" w:lineRule="auto"/>
        <w:ind w:left="480" w:hanging="480"/>
        <w:rPr>
          <w:rFonts w:asciiTheme="majorBidi" w:hAnsiTheme="majorBidi" w:cstheme="majorBidi"/>
        </w:rPr>
      </w:pPr>
      <w:r w:rsidRPr="002D001B">
        <w:rPr>
          <w:rFonts w:ascii="Times New Roman" w:hAnsi="Times New Roman" w:cs="Times New Roman"/>
          <w:noProof/>
          <w:sz w:val="24"/>
          <w:szCs w:val="24"/>
        </w:rPr>
        <w:t xml:space="preserve">Zizioulas, Jean. </w:t>
      </w:r>
      <w:r w:rsidRPr="002D001B">
        <w:rPr>
          <w:rFonts w:ascii="Times New Roman" w:hAnsi="Times New Roman" w:cs="Times New Roman"/>
          <w:i/>
          <w:iCs/>
          <w:noProof/>
          <w:sz w:val="24"/>
          <w:szCs w:val="24"/>
        </w:rPr>
        <w:t>Being as Communion: Studies in Personhood and the Church</w:t>
      </w:r>
      <w:r w:rsidRPr="002D001B">
        <w:rPr>
          <w:rFonts w:ascii="Times New Roman" w:hAnsi="Times New Roman" w:cs="Times New Roman"/>
          <w:noProof/>
          <w:sz w:val="24"/>
          <w:szCs w:val="24"/>
        </w:rPr>
        <w:t xml:space="preserve">. </w:t>
      </w:r>
      <w:r w:rsidRPr="002D001B">
        <w:rPr>
          <w:rFonts w:ascii="Times New Roman" w:hAnsi="Times New Roman" w:cs="Times New Roman"/>
          <w:i/>
          <w:iCs/>
          <w:noProof/>
          <w:sz w:val="24"/>
          <w:szCs w:val="24"/>
        </w:rPr>
        <w:t>Contemporary Greek Theologians</w:t>
      </w:r>
      <w:r w:rsidRPr="002D001B">
        <w:rPr>
          <w:rFonts w:ascii="Times New Roman" w:hAnsi="Times New Roman" w:cs="Times New Roman"/>
          <w:noProof/>
          <w:sz w:val="24"/>
          <w:szCs w:val="24"/>
        </w:rPr>
        <w:t>. Crestwood, N.Y: St. Vladimir’s Seminary Press, 1985.</w:t>
      </w:r>
      <w:r>
        <w:rPr>
          <w:rFonts w:asciiTheme="majorBidi" w:hAnsiTheme="majorBidi" w:cstheme="majorBidi"/>
        </w:rPr>
        <w:fldChar w:fldCharType="end"/>
      </w:r>
    </w:p>
    <w:sectPr w:rsidR="004832D0" w:rsidRPr="00893B05" w:rsidSect="002B030C">
      <w:pgSz w:w="11906" w:h="16838"/>
      <w:pgMar w:top="1418"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63F5D" w14:textId="77777777" w:rsidR="0015650A" w:rsidRDefault="0015650A" w:rsidP="00EE46B5">
      <w:pPr>
        <w:spacing w:after="0" w:line="240" w:lineRule="auto"/>
      </w:pPr>
      <w:r>
        <w:separator/>
      </w:r>
    </w:p>
  </w:endnote>
  <w:endnote w:type="continuationSeparator" w:id="0">
    <w:p w14:paraId="6F1767DE" w14:textId="77777777" w:rsidR="0015650A" w:rsidRDefault="0015650A" w:rsidP="00EE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2F20D" w14:textId="77777777" w:rsidR="0015650A" w:rsidRDefault="0015650A" w:rsidP="00EE46B5">
      <w:pPr>
        <w:spacing w:after="0" w:line="240" w:lineRule="auto"/>
      </w:pPr>
      <w:r>
        <w:separator/>
      </w:r>
    </w:p>
  </w:footnote>
  <w:footnote w:type="continuationSeparator" w:id="0">
    <w:p w14:paraId="27503521" w14:textId="77777777" w:rsidR="0015650A" w:rsidRDefault="0015650A" w:rsidP="00EE46B5">
      <w:pPr>
        <w:spacing w:after="0" w:line="240" w:lineRule="auto"/>
      </w:pPr>
      <w:r>
        <w:continuationSeparator/>
      </w:r>
    </w:p>
  </w:footnote>
  <w:footnote w:id="1">
    <w:p w14:paraId="53D9401B" w14:textId="3770A56D" w:rsidR="002D001B" w:rsidRPr="002D001B" w:rsidRDefault="002D001B" w:rsidP="002D001B">
      <w:pPr>
        <w:pStyle w:val="Kurios-CatatanKaki"/>
      </w:pPr>
      <w:r w:rsidRPr="002D001B">
        <w:rPr>
          <w:rStyle w:val="FootnoteReference"/>
          <w:lang w:val="id-ID"/>
        </w:rPr>
        <w:footnoteRef/>
      </w:r>
      <w:r w:rsidRPr="002D001B">
        <w:t xml:space="preserve"> Banyak sekali pendapat mengenai apa itu teologi. Perbedaan mendalam dalam teologi adalah apakah agama bisa dipisahkan dari teologi. Kita akan memahami teologi sebagai bagian integral dari pemahaman agama. Lihat </w:t>
      </w:r>
      <w:r w:rsidRPr="002D001B">
        <w:fldChar w:fldCharType="begin" w:fldLock="1"/>
      </w:r>
      <w:r w:rsidRPr="002D001B">
        <w:instrText>ADDIN CSL_CITATION {"citationItems":[{"id":"ITEM-1","itemData":{"ISBN":"1498204651 9781498204651","author":[{"dropping-particle":"","family":"Yong","given":"Amos","non-dropping-particle":"","parse-names":false,"suffix":""}],"id":"ITEM-1","issued":{"date-parts":[["2014"]]},"language":"English","publisher":"Wipf &amp; Stock","publisher-place":"Eugene, Or.","title":"Beyond the Impasse: Toward A Pneumatological Theology of Religions","type":"book"},"uris":["http://www.mendeley.com/documents/?uuid=19e4e53b-25f3-4e97-88ae-283dc93c52ff"]}],"mendeley":{"formattedCitation":"Amos Yong, &lt;i&gt;Beyond the Impasse: Toward A Pneumatological Theology of Religions&lt;/i&gt; (Eugene, Or.: Wipf &amp; Stock, 2014).","manualFormatting":"Amos Yong, Beyond the Impasse: Toward A Pneumatological Theology of Religions (Eugene, Or.: Wipf &amp; Stock, 2014), 7.","plainTextFormattedCitation":"Amos Yong, Beyond the Impasse: Toward A Pneumatological Theology of Religions (Eugene, Or.: Wipf &amp; Stock, 2014).","previouslyFormattedCitation":"Amos Yong, &lt;i&gt;Beyond the Impasse: Toward A Pneumatological Theology of Religions&lt;/i&gt; (Eugene, Or.: Wipf &amp; Stock, 2014)."},"properties":{"noteIndex":1},"schema":"https://github.com/citation-style-language/schema/raw/master/csl-citation.json"}</w:instrText>
      </w:r>
      <w:r w:rsidRPr="002D001B">
        <w:fldChar w:fldCharType="separate"/>
      </w:r>
      <w:r w:rsidRPr="002D001B">
        <w:rPr>
          <w:noProof/>
        </w:rPr>
        <w:t xml:space="preserve">Amos Yong, </w:t>
      </w:r>
      <w:r w:rsidRPr="002D001B">
        <w:rPr>
          <w:i/>
          <w:noProof/>
        </w:rPr>
        <w:t>Beyond the Impasse: Toward A Pneumatological Theology of Religions</w:t>
      </w:r>
      <w:r w:rsidRPr="002D001B">
        <w:rPr>
          <w:noProof/>
        </w:rPr>
        <w:t xml:space="preserve"> (Eugene, Or.: Wipf &amp; Stock, 2014), 7.</w:t>
      </w:r>
      <w:r w:rsidRPr="002D001B">
        <w:fldChar w:fldCharType="end"/>
      </w:r>
    </w:p>
  </w:footnote>
  <w:footnote w:id="2">
    <w:p w14:paraId="2C8EC75A" w14:textId="35C57AAA"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{"citationItems":[{"id":"ITEM-1","itemData":{"ISBN":"1570752648 9781570752643","author":[{"dropping-particle":"","family":"Dupuis","given":"Jacques","non-dropping-particle":"","parse-names":false,"suffix":""}],"id":"ITEM-1","issued":{"date-parts":[["2006"]]},"language":"English","publisher":"Orbis Books","publisher-place":"Maryknoll, NY","title":"Toward a Christian Theology of Religious Pluralism","type":"book"},"uris":["http://www.mendeley.com/documents/?uuid=4a23305d-2177-46ad-809f-0b085063abb1"]}],"mendeley":{"formattedCitation":"Jacques Dupuis, &lt;i&gt;Toward a Christian Theology of Religious Pluralism&lt;/i&gt; (Maryknoll, NY: Orbis Books, 2006).","manualFormatting":"Jacques Dupuis, Toward a Christian Theology of Religious Pluralism (Maryknoll, NY: Orbis Books, 2006), 7.","plainTextFormattedCitation":"Jacques Dupuis, Toward a Christian Theology of Religious Pluralism (Maryknoll, NY: Orbis Books, 2006).","previouslyFormattedCitation":"Jacques Dupuis, &lt;i&gt;Toward a Christian Theology of Religious Pluralism&lt;/i&gt; (Maryknoll, NY: Orbis Books, 2006)."},"properties":{"noteIndex":2},"schema":"https://github.com/citation-style-language/schema/raw/master/csl-citation.json"}</w:instrText>
      </w:r>
      <w:r w:rsidRPr="002D001B">
        <w:fldChar w:fldCharType="separate"/>
      </w:r>
      <w:r w:rsidRPr="002D001B">
        <w:rPr>
          <w:noProof/>
        </w:rPr>
        <w:t xml:space="preserve">Jacques Dupuis, </w:t>
      </w:r>
      <w:r w:rsidRPr="002D001B">
        <w:rPr>
          <w:i/>
          <w:noProof/>
        </w:rPr>
        <w:t>Toward a Christian Theology of Religious Pluralism</w:t>
      </w:r>
      <w:r w:rsidRPr="002D001B">
        <w:rPr>
          <w:noProof/>
        </w:rPr>
        <w:t xml:space="preserve"> (Maryknoll, NY: Orbis Books, 2006), 7.</w:t>
      </w:r>
      <w:r w:rsidRPr="002D001B">
        <w:fldChar w:fldCharType="end"/>
      </w:r>
      <w:r w:rsidRPr="002D001B">
        <w:t xml:space="preserve"> </w:t>
      </w:r>
    </w:p>
  </w:footnote>
  <w:footnote w:id="3">
    <w:p w14:paraId="307B7AC3" w14:textId="419760E6"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{"citationItems":[{"id":"ITEM-1","itemData":{"ISBN":"978-0-88344-347-7","author":[{"dropping-particle":"","family":"Knitter","given":"Paul F.","non-dropping-particle":"","parse-names":false,"suffix":""}],"container-title":"American Society of Missiology Series","id":"ITEM-1","issued":{"date-parts":[["1985"]]},"note":"Includes index","number-of-pages":"288","publisher":"Orbis Books","publisher-place":"Maryknoll, N.Y","title":"No Other Name? A Critical Survey of Christian Attitudes Toward the World Religions","type":"book"},"locator":"5","uris":["http://www.mendeley.com/documents/?uuid=4ebca598-8585-4901-8000-d260635f42f7"]}],"mendeley":{"formattedCitation":"Paul F. Knitter, &lt;i&gt;No Other Name? A Critical Survey of Christian Attitudes Toward the World Religions&lt;/i&gt;, &lt;i&gt;American Society of Missiology Series&lt;/i&gt; (Maryknoll, N.Y: Orbis Books, 1985), 5.","plainTextFormattedCitation":"Paul F. Knitter, No Other Name? A Critical Survey of Christian Attitudes Toward the World Religions, American Society of Missiology Series (Maryknoll, N.Y: Orbis Books, 1985), 5.","previouslyFormattedCitation":"Paul F. Knitter, &lt;i&gt;No Other Name? A Critical Survey of Christian Attitudes Toward the World Religions&lt;/i&gt;, &lt;i&gt;American Society of Missiology Series&lt;/i&gt; (Maryknoll, N.Y: Orbis Books, 1985), 5."},"properties":{"noteIndex":3},"schema":"https://github.com/citation-style-language/schema/raw/master/csl-citation.json"}</w:instrText>
      </w:r>
      <w:r w:rsidRPr="002D001B">
        <w:fldChar w:fldCharType="separate"/>
      </w:r>
      <w:r w:rsidRPr="002D001B">
        <w:rPr>
          <w:noProof/>
        </w:rPr>
        <w:t xml:space="preserve">Paul F. Knitter, </w:t>
      </w:r>
      <w:r w:rsidRPr="002D001B">
        <w:rPr>
          <w:i/>
          <w:noProof/>
        </w:rPr>
        <w:t>No Other Name? A Critical Survey of Christian Attitudes Toward the World Religions</w:t>
      </w:r>
      <w:r w:rsidRPr="002D001B">
        <w:rPr>
          <w:noProof/>
        </w:rPr>
        <w:t xml:space="preserve">, </w:t>
      </w:r>
      <w:r w:rsidRPr="002D001B">
        <w:rPr>
          <w:i/>
          <w:noProof/>
        </w:rPr>
        <w:t>American Society of Missiology Series</w:t>
      </w:r>
      <w:r w:rsidRPr="002D001B">
        <w:rPr>
          <w:noProof/>
        </w:rPr>
        <w:t xml:space="preserve"> (Maryknoll, N.Y: Orbis Books, 1985), 5.</w:t>
      </w:r>
      <w:r w:rsidRPr="002D001B">
        <w:fldChar w:fldCharType="end"/>
      </w:r>
    </w:p>
  </w:footnote>
  <w:footnote w:id="4">
    <w:p w14:paraId="50141CBE" w14:textId="7928850C"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{"citationItems":[{"id":"ITEM-1","itemData":{"ISBN":"978-1-85168-673-5","abstract":"Theologian Paul Knitter tells how Buddhism helped him through a crisis of faith, and explains how Buddhist perspectives can enliven Christianity.","author":[{"dropping-particle":"","family":"Knitter","given":"Paul F.","non-dropping-particle":"","parse-names":false,"suffix":""}],"id":"ITEM-1","issued":{"date-parts":[["2011"]]},"language":"English","publisher":"Oneworld","publisher-place":"Oxford","title":"Without Buddha I Could Not Be a Christian","type":"book"},"locator":"67","uris":["http://www.mendeley.com/documents/?uuid=04a9bf9d-290a-4c73-8b31-729f823592d5"]},{"id":"ITEM-2","itemData":{"author":[{"dropping-particle":"","family":"Banawiratma","given":"B J","non-dropping-particle":"","parse-names":false,"suffix":""}],"container-title":"Meretas jalan teologi agama-agama di Indonesia","edition":"9","id":"ITEM-2","issued":{"date-parts":[["2007"]]},"publisher":"BPK Gunung Mulia","publisher-place":"Jakarta","title":"Mengembangkan teologi agama-agama","type":"chapter"},"locator":"41","uris":["http://www.mendeley.com/documents/?uuid=124ab215-c156-4c51-ad0d-eb315eda2f51"]},{"id":"ITEM-3","itemData":{"author":[{"dropping-particle":"","family":"Knitter","given":"Paul F.","non-dropping-particle":"","parse-names":false,"suffix":""}],"id":"ITEM-3","issued":{"date-parts":[["2005"]]},"publisher":"Kanisius","publisher-place":"Yogyakarta","title":"Menggugat Arogansi Kekristenan","type":"book"},"locator":"71","uris":["http://www.mendeley.com/documents/?uuid=89471a74-1fe7-4176-a6d8-41f8c0e0b90a"]},{"id":"ITEM-4","itemData":{"ISBN":"978-1-62892-526-5 978-1-4411-5237-4","author":[{"dropping-particle":"","family":"Rose","given":"Kenneth","non-dropping-particle":"","parse-names":false,"suffix":""}],"id":"ITEM-4","issued":{"date-parts":[["2014"]]},"language":"English","publisher":"Bloomsbury","publisher-place":"New York","title":"Pluralism: The future of religion","type":"book"},"locator":"9","uris":["http://www.mendeley.com/documents/?uuid=2190f5a8-1fde-441c-aec8-d6339479644b"]}],"mendeley":{"formattedCitation":"Paul F. Knitter, &lt;i&gt;Without Buddha I Could Not Be a Christian&lt;/i&gt; (Oxford: Oneworld, 2011), 67; B J Banawiratma, “Mengembangkan Teologi Agama-Agama,” in &lt;i&gt;Meretas Jalan Teologi Agama-Agama Di Indonesia&lt;/i&gt;, 9th ed. (Jakarta: BPK Gunung Mulia, 2007), 41; Paul F. Knitter, &lt;i&gt;Menggugat Arogansi Kekristenan&lt;/i&gt; (Yogyakarta: Kanisius, 2005), 71; Kenneth Rose, &lt;i&gt;Pluralism: The Future of Religion&lt;/i&gt; (New York: Bloomsbury, 2014), 9.","plainTextFormattedCitation":"Paul F. Knitter, Without Buddha I Could Not Be a Christian (Oxford: Oneworld, 2011), 67; B J Banawiratma, “Mengembangkan Teologi Agama-Agama,” in Meretas Jalan Teologi Agama-Agama Di Indonesia, 9th ed. (Jakarta: BPK Gunung Mulia, 2007), 41; Paul F. Knitter, Menggugat Arogansi Kekristenan (Yogyakarta: Kanisius, 2005), 71; Kenneth Rose, Pluralism: The Future of Religion (New York: Bloomsbury, 2014), 9.","previouslyFormattedCitation":"Paul F. Knitter, &lt;i&gt;Without Buddha I Could Not Be a Christian&lt;/i&gt; (Oxford: Oneworld, 2011), 67; B J Banawiratma, “Mengembangkan Teologi Agama-Agama,” in &lt;i&gt;Meretas Jalan Teologi Agama-Agama Di Indonesia&lt;/i&gt;, 9th ed. (Jakarta: BPK Gunung Mulia, 2007), 41; Paul F. Knitter, &lt;i&gt;Menggugat Arogansi Kekristenan&lt;/i&gt; (Yogyakarta: Kanisius, 2005), 71; Kenneth Rose, &lt;i&gt;Pluralism: The Future of Religion&lt;/i&gt; (New York: Bloomsbury, 2014), 9."},"properties":{"noteIndex":4},"schema":"https://github.com/citation-style-language/schema/raw/master/csl-citation.json"}</w:instrText>
      </w:r>
      <w:r w:rsidRPr="002D001B">
        <w:fldChar w:fldCharType="separate"/>
      </w:r>
      <w:r w:rsidRPr="002D001B">
        <w:rPr>
          <w:noProof/>
        </w:rPr>
        <w:t xml:space="preserve">Paul F. Knitter, </w:t>
      </w:r>
      <w:r w:rsidRPr="002D001B">
        <w:rPr>
          <w:i/>
          <w:noProof/>
        </w:rPr>
        <w:t>Without Buddha I Could Not Be a Christian</w:t>
      </w:r>
      <w:r w:rsidRPr="002D001B">
        <w:rPr>
          <w:noProof/>
        </w:rPr>
        <w:t xml:space="preserve"> (Oxford: Oneworld, 2011), 67; B J Banawiratma, “Mengembangkan Teologi Agama-Agama,” in </w:t>
      </w:r>
      <w:r w:rsidRPr="002D001B">
        <w:rPr>
          <w:i/>
          <w:noProof/>
        </w:rPr>
        <w:t>Meretas Jalan Teologi Agama-Agama Di Indonesia</w:t>
      </w:r>
      <w:r w:rsidRPr="002D001B">
        <w:rPr>
          <w:noProof/>
        </w:rPr>
        <w:t xml:space="preserve">, 9th ed. (Jakarta: BPK Gunung Mulia, 2007), 41; Paul F. Knitter, </w:t>
      </w:r>
      <w:r w:rsidRPr="002D001B">
        <w:rPr>
          <w:i/>
          <w:noProof/>
        </w:rPr>
        <w:t>Menggugat Arogansi Kekristenan</w:t>
      </w:r>
      <w:r w:rsidRPr="002D001B">
        <w:rPr>
          <w:noProof/>
        </w:rPr>
        <w:t xml:space="preserve"> (Yogyakarta: Kanisius, 2005), 71; Kenneth Rose, </w:t>
      </w:r>
      <w:r w:rsidRPr="002D001B">
        <w:rPr>
          <w:i/>
          <w:noProof/>
        </w:rPr>
        <w:t>Pluralism: The Future of Religion</w:t>
      </w:r>
      <w:r w:rsidRPr="002D001B">
        <w:rPr>
          <w:noProof/>
        </w:rPr>
        <w:t xml:space="preserve"> (New York: Bloomsbury, 2014), 9.</w:t>
      </w:r>
      <w:r w:rsidRPr="002D001B">
        <w:fldChar w:fldCharType="end"/>
      </w:r>
    </w:p>
  </w:footnote>
  <w:footnote w:id="5">
    <w:p w14:paraId="5FA71069" w14:textId="2F5D5CD6"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{"citationItems":[{"id":"ITEM-1","itemData":{"ISBN":"978-90-420-3279-8 978-90-420-3280-4","abstract":"Can one maintain one's religious identity without closing oneself from the other? In general, Christian reflection on interreligious dialogue begins with a theological reflection on religious plurality that assumes that one cannot engage seriously in interreligious dialogue without a sound theology of religions. In this book, Marianne Moyaert critically assesses the various models for a Christian theology of religions (exclusivism, inclusivism, pluralism, particularism) by asking how these models relate to the dialogical tension between openness and identity. She argues that we need to overcome the classical theological approach of religious plurality and move in the direction of a theological hermeneutics of interreligious hospitality. To that end she turns to Paul Ricoeur, whose philosophical and hermeneutical insights can give a new turn to the discussion of the criteria, possibilities, and particularly the limits of interreligious dialogue CN - BL410 .M69 2011","author":[{"dropping-particle":"","family":"Moyaert","given":"Marianne","non-dropping-particle":"","parse-names":false,"suffix":""}],"container-title":"Currents of Encounter","id":"ITEM-1","issued":{"date-parts":[["2011"]]},"language":"eng","note":"Introduction -- The theory of religions -- The theology of religions and the tension between openness and closedness -- A critique of the pluralist model of interreligious dialogue -- The cultural-linguistic theory, postliberalism, and religious incommensurability -- The end of dialogue? -- Interreligious dialogue and hermeneutical openness -- Testimony and openness : a theological perspective","number-of-pages":"352","publisher":"Rodopi","publisher-place":"Amsterdam; New York","title":"Fragile Identities: Towards a Theology of Interreligious Hospitality","type":"book"},"locator":"47-48","uris":["http://www.mendeley.com/documents/?uuid=9f50caa8-a5d6-45ff-bfab-41b2697364a4"]}],"mendeley":{"formattedCitation":"Marianne Moyaert, &lt;i&gt;Fragile Identities: Towards a Theology of Interreligious Hospitality&lt;/i&gt;, &lt;i&gt;Currents of Encounter&lt;/i&gt; (Amsterdam; New York: Rodopi, 2011), 47–48.","manualFormatting":"Marianne Moyaert, Fragile Identities: Towards a Theology of Interreligious Hospitality, Currents of Encounter (Amsterdam, New York: Rodopi, 2011), 47–48.","plainTextFormattedCitation":"Marianne Moyaert, Fragile Identities: Towards a Theology of Interreligious Hospitality, Currents of Encounter (Amsterdam; New York: Rodopi, 2011), 47–48.","previouslyFormattedCitation":"Marianne Moyaert, &lt;i&gt;Fragile Identities: Towards a Theology of Interreligious Hospitality&lt;/i&gt;, &lt;i&gt;Currents of Encounter&lt;/i&gt; (Amsterdam; New York: Rodopi, 2011), 47–48."},"properties":{"noteIndex":5},"schema":"https://github.com/citation-style-language/schema/raw/master/csl-citation.json"}</w:instrText>
      </w:r>
      <w:r w:rsidRPr="002D001B">
        <w:fldChar w:fldCharType="separate"/>
      </w:r>
      <w:r w:rsidRPr="002D001B">
        <w:rPr>
          <w:noProof/>
        </w:rPr>
        <w:t xml:space="preserve">Marianne Moyaert, </w:t>
      </w:r>
      <w:r w:rsidRPr="002D001B">
        <w:rPr>
          <w:i/>
          <w:noProof/>
        </w:rPr>
        <w:t>Fragile Identities: Towards a Theology of Interreligious Hospitality</w:t>
      </w:r>
      <w:r w:rsidRPr="002D001B">
        <w:rPr>
          <w:noProof/>
        </w:rPr>
        <w:t xml:space="preserve">, </w:t>
      </w:r>
      <w:r w:rsidRPr="002D001B">
        <w:rPr>
          <w:i/>
          <w:noProof/>
        </w:rPr>
        <w:t>Currents of Encounter</w:t>
      </w:r>
      <w:r w:rsidRPr="002D001B">
        <w:rPr>
          <w:noProof/>
        </w:rPr>
        <w:t xml:space="preserve"> (Amsterdam, New York: Rodopi, 2011), 47–48.</w:t>
      </w:r>
      <w:r w:rsidRPr="002D001B">
        <w:fldChar w:fldCharType="end"/>
      </w:r>
    </w:p>
  </w:footnote>
  <w:footnote w:id="6">
    <w:p w14:paraId="7C4D16FD" w14:textId="0A700361" w:rsidR="002D001B" w:rsidRPr="002D001B" w:rsidRDefault="002D001B" w:rsidP="002D001B">
      <w:pPr>
        <w:pStyle w:val="Kurios-CatatanKaki"/>
        <w:rPr>
          <w:i/>
          <w:iCs/>
          <w:lang w:val="en-ID"/>
        </w:rPr>
      </w:pPr>
      <w:r w:rsidRPr="002D001B">
        <w:rPr>
          <w:rStyle w:val="FootnoteReference"/>
        </w:rPr>
        <w:footnoteRef/>
      </w:r>
      <w:r w:rsidRPr="002D001B">
        <w:t xml:space="preserve"> </w:t>
      </w:r>
      <w:r w:rsidRPr="002D001B">
        <w:rPr>
          <w:lang w:val="en-ID"/>
        </w:rPr>
        <w:t xml:space="preserve">Lihat </w:t>
      </w:r>
      <w:r w:rsidRPr="002D001B">
        <w:rPr>
          <w:lang w:val="en-ID"/>
        </w:rPr>
        <w:fldChar w:fldCharType="begin" w:fldLock="1"/>
      </w:r>
      <w:r w:rsidRPr="002D001B">
        <w:rPr>
          <w:lang w:val="en-ID"/>
        </w:rPr>
        <w:instrText>ADDIN CSL_CITATION {"citationItems":[{"id":"ITEM-1","itemData":{"ISBN":"9786021336052","abstract":"Theologia in loco (teologi di dalam tempat) adalah sebuah semboyan kontekstualisasi. Kabar Gembira atau Injil yang dihayati sebagai kabar mulia di suatu tempat bisa jadi terasa sebagai kabar buruk di tempat lainnya. Pada zaman kolonial, proses pewartaan Injil pun terhanyut ke dalam paradigma kolonial. Inilah yang dikritik oleh semboyan theologia in loco. Pada zaman pascakolonial, semboyan theologia in loco itu telah mengobarkan semangat berteologi secara lokal. Namun, hal ini masih harus dilanjutkan menjadi proses pertobatan yang membuat manusia menjadi ciptaan baru yang tidak lagi menindas sesamanya. Dalam buku ini, usaha untuk melanjutkan theologia in loco itu disebut sebagai evangelisasi in tempo, evangelisasi di dalam waktu. Suara Allah perlu didengarkan di dalam waktu konkret yang sedang dilintasi oleh manusia, terutama melalui jeritan dan rintihan mereka yang menjadi korban penindasan. Di tengah situasi zaman yang diwarnai oleh isu benturan antar-peradaban dewasa ini, bisakah evangelisasi in tempo itu menciptakan arus baru yang makin mendekatkan orang satu sama lain dalam jalinan peradaban cinta kasih penuh damai?","author":[{"dropping-particle":"","family":"Rachmadi","given":"Simon","non-dropping-particle":"","parse-names":false,"suffix":""}],"id":"ITEM-1","issued":{"date-parts":[["2019"]]},"number-of-pages":"65","publisher":"STFT Jakarta bekerja sama dengan BPK Gunung Mulia","publisher-place":"Jakarta","title":"Theologia in Loco: Di Tengah Jalinan Antar-Peradaban","type":"book"},"uris":["http://www.mendeley.com/documents/?uuid=0970fab2-32a8-4b7c-80bf-73e9d2a01676"]}],"mendeley":{"formattedCitation":"Simon Rachmadi, &lt;i&gt;Theologia in Loco: Di Tengah Jalinan Antar-Peradaban&lt;/i&gt; (Jakarta: STFT Jakarta bekerja sama dengan BPK Gunung Mulia, 2019).","plainTextFormattedCitation":"Simon Rachmadi, Theologia in Loco: Di Tengah Jalinan Antar-Peradaban (Jakarta: STFT Jakarta bekerja sama dengan BPK Gunung Mulia, 2019).","previouslyFormattedCitation":"Simon Rachmadi, &lt;i&gt;Theologia in Loco: Di Tengah Jalinan Antar-Peradaban&lt;/i&gt; (Jakarta: STFT Jakarta bekerja sama dengan BPK Gunung Mulia, 2019)."},"properties":{"noteIndex":6},"schema":"https://github.com/citation-style-language/schema/raw/master/csl-citation.json"}</w:instrText>
      </w:r>
      <w:r w:rsidRPr="002D001B">
        <w:rPr>
          <w:lang w:val="en-ID"/>
        </w:rPr>
        <w:fldChar w:fldCharType="separate"/>
      </w:r>
      <w:r w:rsidRPr="002D001B">
        <w:rPr>
          <w:noProof/>
          <w:lang w:val="en-ID"/>
        </w:rPr>
        <w:t xml:space="preserve">Simon Rachmadi, </w:t>
      </w:r>
      <w:r w:rsidRPr="002D001B">
        <w:rPr>
          <w:i/>
          <w:noProof/>
          <w:lang w:val="en-ID"/>
        </w:rPr>
        <w:t>Theologia in Loco: Di Tengah Jalinan Antar-Peradaban</w:t>
      </w:r>
      <w:r w:rsidRPr="002D001B">
        <w:rPr>
          <w:noProof/>
          <w:lang w:val="en-ID"/>
        </w:rPr>
        <w:t xml:space="preserve"> (Jakarta: STFT Jakarta bekerja sama dengan BPK Gunung Mulia, 2019).</w:t>
      </w:r>
      <w:r w:rsidRPr="002D001B">
        <w:rPr>
          <w:lang w:val="en-ID"/>
        </w:rPr>
        <w:fldChar w:fldCharType="end"/>
      </w:r>
      <w:r w:rsidRPr="002D001B">
        <w:rPr>
          <w:lang w:val="en-ID"/>
        </w:rPr>
        <w:tab/>
      </w:r>
    </w:p>
  </w:footnote>
  <w:footnote w:id="7">
    <w:p w14:paraId="5724CED5" w14:textId="371B5A1F" w:rsidR="002D001B" w:rsidRPr="002D001B" w:rsidRDefault="002D001B" w:rsidP="002D001B">
      <w:pPr>
        <w:pStyle w:val="Kurios-CatatanKaki"/>
        <w:rPr>
          <w:lang w:val="en-ID"/>
        </w:rPr>
      </w:pPr>
      <w:r w:rsidRPr="002D001B">
        <w:rPr>
          <w:rStyle w:val="FootnoteReference"/>
        </w:rPr>
        <w:footnoteRef/>
      </w:r>
      <w:r w:rsidRPr="002D001B">
        <w:t xml:space="preserve"> </w:t>
      </w:r>
      <w:r w:rsidRPr="002D001B">
        <w:rPr>
          <w:lang w:val="en-ID"/>
        </w:rPr>
        <w:t xml:space="preserve">Lihat karya </w:t>
      </w:r>
      <w:r w:rsidRPr="002D001B">
        <w:rPr>
          <w:lang w:val="en-ID"/>
        </w:rPr>
        <w:fldChar w:fldCharType="begin" w:fldLock="1"/>
      </w:r>
      <w:r w:rsidRPr="002D001B">
        <w:rPr>
          <w:lang w:val="en-ID"/>
        </w:rPr>
        <w:instrText>ADDIN CSL_CITATION {"citationItems":[{"id":"ITEM-1","itemData":{"ISBN":"978-602-71379-6-7","abstract":"Penulis buku ini, melakukan kajian terhadap cara pandang kedua agama terhadap sosok Yesus, yang memiliki kedudukan cukup signifikan dalam Kitab-kitab Suci mereka. Pendekatan dilakukan berdasar analisis eksegetis atas dua perikop Kitab Suci Kristen dan Islam, yaitu himne Kristus dalam surat Kolose 1:15-20 dan himne Yesus dalam Surah Maryam 19:16-40. Dari himne Kristus dalam surat Kolose, penulis mencoba menemukan gambaran yang jelas mengenai persepsi Alkitabiah tentang diri Yesus, yang secara implisit mencerminkan pemahaman komunitas Kristen perdana; dan dari himne Yesus dalam Surah Maryam, penulis berusaha memahami persepsi Alquran tentang diri-Nya. Dengan menggali berita tentang Yesus dalam kedua Kitab Suci itu penulis berharap dapat memahami persepsi fundamental Alkitabiah Kristen dan Islam tentang diri-Nya, dan mungkin mengoreksi kesalahpahaman kedua komunitas iman itu terhadap-Nya, yang barangkali ”menyimpang” dari persepsi Kitab Suci mereka. Bertolak dari analisis eksegetis atas kedua bagian Kitab Suci itu, penulis berharap agar kita dapat menggali kemungkinan untuk mengembangkan pemahaman bersama mengenai diri Yesus; atau paling tidak, mempertumpul perbedaan-perbedaan pemahaman dan cara pandang keduanya terhadap Dia.","author":[{"dropping-particle":"","family":"Subandrijo","given":"Bambang","non-dropping-particle":"","parse-names":false,"suffix":""}],"id":"ITEM-1","issued":{"date-parts":[["2016"]]},"number-of-pages":"332","publisher":"BPK Gunung Mulia","publisher-place":"Jakarta","title":"Yesus, Sang Titik Temu dan Titik Tengkar: Sebuah Studi tentang Pandangan Kristen dan Muslim di Indonesia mengenai Yesus","type":"book"},"uris":["http://www.mendeley.com/documents/?uuid=cc12d2ec-a2f5-42cd-a136-e11b53191900"]}],"mendeley":{"formattedCitation":"Bambang Subandrijo, &lt;i&gt;Yesus, Sang Titik Temu Dan Titik Tengkar: Sebuah Studi Tentang Pandangan Kristen Dan Muslim Di Indonesia Mengenai Yesus&lt;/i&gt; (Jakarta: BPK Gunung Mulia, 2016).","plainTextFormattedCitation":"Bambang Subandrijo, Yesus, Sang Titik Temu Dan Titik Tengkar: Sebuah Studi Tentang Pandangan Kristen Dan Muslim Di Indonesia Mengenai Yesus (Jakarta: BPK Gunung Mulia, 2016).","previouslyFormattedCitation":"Bambang Subandrijo, &lt;i&gt;Yesus, Sang Titik Temu Dan Titik Tengkar: Sebuah Studi Tentang Pandangan Kristen Dan Muslim Di Indonesia Mengenai Yesus&lt;/i&gt; (Jakarta: BPK Gunung Mulia, 2016)."},"properties":{"noteIndex":7},"schema":"https://github.com/citation-style-language/schema/raw/master/csl-citation.json"}</w:instrText>
      </w:r>
      <w:r w:rsidRPr="002D001B">
        <w:rPr>
          <w:lang w:val="en-ID"/>
        </w:rPr>
        <w:fldChar w:fldCharType="separate"/>
      </w:r>
      <w:r w:rsidRPr="002D001B">
        <w:rPr>
          <w:noProof/>
          <w:lang w:val="en-ID"/>
        </w:rPr>
        <w:t xml:space="preserve">Bambang Subandrijo, </w:t>
      </w:r>
      <w:r w:rsidRPr="002D001B">
        <w:rPr>
          <w:i/>
          <w:noProof/>
          <w:lang w:val="en-ID"/>
        </w:rPr>
        <w:t xml:space="preserve">Yesus, Sang Titik Temu </w:t>
      </w:r>
      <w:r w:rsidR="009D3F48">
        <w:rPr>
          <w:i/>
          <w:noProof/>
          <w:lang w:val="en-ID"/>
        </w:rPr>
        <w:t>d</w:t>
      </w:r>
      <w:r w:rsidRPr="002D001B">
        <w:rPr>
          <w:i/>
          <w:noProof/>
          <w:lang w:val="en-ID"/>
        </w:rPr>
        <w:t xml:space="preserve">an Titik Tengkar: Sebuah Studi </w:t>
      </w:r>
      <w:r w:rsidR="009D3F48">
        <w:rPr>
          <w:i/>
          <w:noProof/>
          <w:lang w:val="en-ID"/>
        </w:rPr>
        <w:t>t</w:t>
      </w:r>
      <w:r w:rsidRPr="002D001B">
        <w:rPr>
          <w:i/>
          <w:noProof/>
          <w:lang w:val="en-ID"/>
        </w:rPr>
        <w:t xml:space="preserve">entang Pandangan Kristen </w:t>
      </w:r>
      <w:r w:rsidR="009D3F48">
        <w:rPr>
          <w:i/>
          <w:noProof/>
          <w:lang w:val="en-ID"/>
        </w:rPr>
        <w:t>d</w:t>
      </w:r>
      <w:r w:rsidRPr="002D001B">
        <w:rPr>
          <w:i/>
          <w:noProof/>
          <w:lang w:val="en-ID"/>
        </w:rPr>
        <w:t xml:space="preserve">an Muslim </w:t>
      </w:r>
      <w:r w:rsidR="009D3F48">
        <w:rPr>
          <w:i/>
          <w:noProof/>
          <w:lang w:val="en-ID"/>
        </w:rPr>
        <w:t>d</w:t>
      </w:r>
      <w:r w:rsidRPr="002D001B">
        <w:rPr>
          <w:i/>
          <w:noProof/>
          <w:lang w:val="en-ID"/>
        </w:rPr>
        <w:t>i Indonesia Mengenai Yesus</w:t>
      </w:r>
      <w:r w:rsidRPr="002D001B">
        <w:rPr>
          <w:noProof/>
          <w:lang w:val="en-ID"/>
        </w:rPr>
        <w:t xml:space="preserve"> (Jakarta: BPK Gunung Mulia, 2016).</w:t>
      </w:r>
      <w:r w:rsidRPr="002D001B">
        <w:rPr>
          <w:lang w:val="en-ID"/>
        </w:rPr>
        <w:fldChar w:fldCharType="end"/>
      </w:r>
    </w:p>
  </w:footnote>
  <w:footnote w:id="8">
    <w:p w14:paraId="32DBD88F" w14:textId="2675850A"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instrText>ADDIN CSL_CITATION {"citationItems":[{"id":"ITEM-1","itemData":{"DOI":"10.1177/239693930603000302","ISSN":"0272-6122","author":[{"dropping-particle":"","family":"Kärkkäinen","given":"Veli-Matti","non-dropping-particle":"","parse-names":false,"suffix":""}],"container-title":"International Bulletin of Missionary Research","id":"ITEM-1","issue":"3","issued":{"date-parts":[["2006","7","1"]]},"note":"doi: 10.1177/239693930603000302","page":"121-127","publisher":"SAGE Publications","title":"How to Speak of the Spirit among Religions: Trinitarian “Rules” for a Pneumatological Theology of Religions","type":"article-journal","volume":"30"},"locator":"122-123","uris":["http://www.mendeley.com/documents/?uuid=46e9810c-91f8-4dc8-ac3d-87cfeb9772ba"]}],"mendeley":{"formattedCitation":"Veli-Matti Kärkkäinen, “How to Speak of the Spirit among Religions: Trinitarian ‘Rules’ for a Pneumatological Theology of Religions,” &lt;i&gt;International Bulletin of Missionary Research&lt;/i&gt; 30, no. 3 (July 1, 2006): 122–23, https://doi.org/10.1177/239693930603000302.","plainTextFormattedCitation":"Veli-Matti Kärkkäinen, “How to Speak of the Spirit among Religions: Trinitarian ‘Rules’ for a Pneumatological Theology of Religions,” International Bulletin of Missionary Research 30, no. 3 (July 1, 2006): 122–23, https://doi.org/10.1177/239693930603000302.","previouslyFormattedCitation":"Veli-Matti Kärkkäinen, “How to Speak of the Spirit among Religions: Trinitarian ‘Rules’ for a Pneumatological Theology of Religions,” &lt;i&gt;International Bulletin of Missionary Research&lt;/i&gt; 30, no. 3 (July 1, 2006): 122–23, https://doi.org/10.1177/239693930603000302."},"properties":{"noteIndex":8},"schema":"https://github.com/citation-style-language/schema/raw/master/csl-citation.json"}</w:instrText>
      </w:r>
      <w:r w:rsidRPr="002D001B">
        <w:fldChar w:fldCharType="separate"/>
      </w:r>
      <w:r w:rsidRPr="002D001B">
        <w:rPr>
          <w:noProof/>
        </w:rPr>
        <w:t xml:space="preserve">Veli-Matti Kärkkäinen, “How to Speak of the Spirit among Religions: Trinitarian ‘Rules’ for a Pneumatological Theology of Religions,” </w:t>
      </w:r>
      <w:r w:rsidRPr="002D001B">
        <w:rPr>
          <w:i/>
          <w:noProof/>
        </w:rPr>
        <w:t>International Bulletin of Missionary Research</w:t>
      </w:r>
      <w:r w:rsidRPr="002D001B">
        <w:rPr>
          <w:noProof/>
        </w:rPr>
        <w:t xml:space="preserve"> 30, no. 3 (July 1, 2006): 122–23, https://doi.org/10.1177/239693930603000302.</w:t>
      </w:r>
      <w:r w:rsidRPr="002D001B">
        <w:fldChar w:fldCharType="end"/>
      </w:r>
      <w:r w:rsidRPr="002D001B">
        <w:t xml:space="preserve"> </w:t>
      </w:r>
    </w:p>
  </w:footnote>
  <w:footnote w:id="9">
    <w:p w14:paraId="48697191" w14:textId="062DB9AD"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{"citationItems":[{"id":"ITEM-1","itemData":{"ISBN":"978-0-567-66292-7","author":[{"dropping-particle":"","family":"D'Costa","given":"Gavin","non-dropping-particle":"","parse-names":false,"suffix":""}],"container-title":"The New Evangelization : Faith, People, Context and Practice","edition":"1","editor":[{"dropping-particle":"","family":"Grogan","given":"Paul","non-dropping-particle":"","parse-names":false,"suffix":""},{"dropping-particle":"","family":"Kim","given":"Kirsteen","non-dropping-particle":"","parse-names":false,"suffix":""}],"id":"ITEM-1","issued":{"date-parts":[["2015","4","14"]]},"language":"en","page":"179-196","publisher":"Bloomsbury Academic","publisher-place":"London","title":"The New Evangelization and Other Religions: Facing Three Objections to Evangelization in Regard to the World Religions","type":"chapter"},"locator":"180","uris":["http://www.mendeley.com/documents/?uuid=2cc8c105-05ff-4c63-bfb3-55495d492a4c"]}],"mendeley":{"formattedCitation":"Gavin D’Costa, “The New Evangelization and Other Religions: Facing Three Objections to Evangelization in Regard to the World Religions,” in &lt;i&gt;The New Evangelization : Faith, People, Context and Practice&lt;/i&gt;, ed. Paul Grogan and Kirsteen Kim, 1st ed. (London: Bloomsbury Academic, 2015), 180, http://www.bloomsburycollections.com/book/the-new-evangelization-faith-people-context-and-practice/ch11-the-new-evangelization-and-other-religions-facing-three-objections-to-evangelization-in-regard-to-the-world-religions/.","manualFormatting":"Gavin D’Costa, “The New Evangelization and Other Religions: Facing Three Objections to Evangelization in Regard to the World Religions,” dalam The New Evangelization: Faith, People, Context and Practice, peny. Paul Grogan and Kirsteen Kim, 1st ed. (London: Bloomsbury Academic, 2015), 180. ","plainTextFormattedCitation":"Gavin D’Costa, “The New Evangelization and Other Religions: Facing Three Objections to Evangelization in Regard to the World Religions,” in The New Evangelization : Faith, People, Context and Practice, ed. Paul Grogan and Kirsteen Kim, 1st ed. (London: Bloomsbury Academic, 2015), 180, http://www.bloomsburycollections.com/book/the-new-evangelization-faith-people-context-and-practice/ch11-the-new-evangelization-and-other-religions-facing-three-objections-to-evangelization-in-regard-to-the-world-religions/.","previouslyFormattedCitation":"Gavin D’Costa, “The New Evangelization and Other Religions: Facing Three Objections to Evangelization in Regard to the World Religions,” in &lt;i&gt;The New Evangelization : Faith, People, Context and Practice&lt;/i&gt;, ed. Paul Grogan and Kirsteen Kim, 1st ed. (London: Bloomsbury Academic, 2015), 180, http://www.bloomsburycollections.com/book/the-new-evangelization-faith-people-context-and-practice/ch11-the-new-evangelization-and-other-religions-facing-three-objections-to-evangelization-in-regard-to-the-world-religions/."},"properties":{"noteIndex":9},"schema":"https://github.com/citation-style-language/schema/raw/master/csl-citation.json"}</w:instrText>
      </w:r>
      <w:r w:rsidRPr="002D001B">
        <w:fldChar w:fldCharType="separate"/>
      </w:r>
      <w:r w:rsidRPr="002D001B">
        <w:rPr>
          <w:noProof/>
        </w:rPr>
        <w:t xml:space="preserve">Gavin D’Costa, “The New Evangelization and Other Religions: Facing Three Objections to Evangelization in Regard to the World Religions,” dalam </w:t>
      </w:r>
      <w:r w:rsidRPr="002D001B">
        <w:rPr>
          <w:i/>
          <w:noProof/>
        </w:rPr>
        <w:t>The New Evangelization: Faith, People, Context and Practice</w:t>
      </w:r>
      <w:r w:rsidRPr="002D001B">
        <w:rPr>
          <w:noProof/>
        </w:rPr>
        <w:t xml:space="preserve">, peny. Paul Grogan and Kirsteen Kim, 1st ed. (London: Bloomsbury Academic, 2015), 180. </w:t>
      </w:r>
      <w:r w:rsidRPr="002D001B">
        <w:fldChar w:fldCharType="end"/>
      </w:r>
    </w:p>
  </w:footnote>
  <w:footnote w:id="10">
    <w:p w14:paraId="1CF44DD8" w14:textId="2E254E1F"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{"citationItems":[{"id":"ITEM-1","itemData":{"DOI":"10.1177/004056390806900209","ISSN":"0040-5639, 2169-1304","author":[{"dropping-particle":"","family":"Fletcher","given":"Jeannine Hill","non-dropping-particle":"","parse-names":false,"suffix":""}],"container-title":"Theological Studies","id":"ITEM-1","issue":"2","issued":{"date-parts":[["2008","2","3"]]},"language":"en","page":"394-411","title":"Religious pluralism in an era of globalization: The making of modern religious identity","type":"article-journal","volume":"69"},"locator":"397","uris":["http://www.mendeley.com/documents/?uuid=5262489c-4f51-49bd-a9d7-70e8cabf7b3d"]}],"mendeley":{"formattedCitation":"Jeannine Hill Fletcher, “Religious Pluralism in an Era of Globalization: The Making of Modern Religious Identity,” &lt;i&gt;Theological Studies&lt;/i&gt; 69, no. 2 (February 3, 2008): 397, https://doi.org/10.1177/004056390806900209.","plainTextFormattedCitation":"Jeannine Hill Fletcher, “Religious Pluralism in an Era of Globalization: The Making of Modern Religious Identity,” Theological Studies 69, no. 2 (February 3, 2008): 397, https://doi.org/10.1177/004056390806900209.","previouslyFormattedCitation":"Jeannine Hill Fletcher, “Religious Pluralism in an Era of Globalization: The Making of Modern Religious Identity,” &lt;i&gt;Theological Studies&lt;/i&gt; 69, no. 2 (February 3, 2008): 397, https://doi.org/10.1177/004056390806900209."},"properties":{"noteIndex":10},"schema":"https://github.com/citation-style-language/schema/raw/master/csl-citation.json"}</w:instrText>
      </w:r>
      <w:r w:rsidRPr="002D001B">
        <w:fldChar w:fldCharType="separate"/>
      </w:r>
      <w:r w:rsidRPr="002D001B">
        <w:rPr>
          <w:noProof/>
        </w:rPr>
        <w:t xml:space="preserve">Jeannine Hill Fletcher, “Religious Pluralism in an Era of Globalization: The Making of Modern Religious Identity,” </w:t>
      </w:r>
      <w:r w:rsidRPr="002D001B">
        <w:rPr>
          <w:i/>
          <w:noProof/>
        </w:rPr>
        <w:t>Theological Studies</w:t>
      </w:r>
      <w:r w:rsidRPr="002D001B">
        <w:rPr>
          <w:noProof/>
        </w:rPr>
        <w:t xml:space="preserve"> 69, no. 2 (February 3, 2008): 397, https://doi.org/10.1177/004056390806900209.</w:t>
      </w:r>
      <w:r w:rsidRPr="002D001B">
        <w:fldChar w:fldCharType="end"/>
      </w:r>
    </w:p>
  </w:footnote>
  <w:footnote w:id="11">
    <w:p w14:paraId="22DC60CF" w14:textId="226301BA" w:rsidR="002D001B" w:rsidRPr="002D001B" w:rsidRDefault="002D001B" w:rsidP="002D001B">
      <w:pPr>
        <w:pStyle w:val="Kurios-CatatanKaki"/>
      </w:pPr>
      <w:r w:rsidRPr="002D001B">
        <w:rPr>
          <w:rStyle w:val="FootnoteReference"/>
          <w:lang w:val="id-ID"/>
        </w:rPr>
        <w:footnoteRef/>
      </w:r>
      <w:r w:rsidRPr="002D001B">
        <w:t xml:space="preserve"> Beberapa teolog Protestan mengatakan bahwa dokumen konsili tersebut membuka peluang pemaknaan yang berbeda-beda. Karl Rahner sebagaimana diungkapkan oleh Kärkkäinen menyatakan bahwa Konsili Vatikan II sepertinya enggan untuk bergerak lebih jauh terhadap hubungan dengan agama lain. Pernyataannya tidak memberikan kejelasan teologis tentang bagaimana pentingnya agama-agama lain dalam keselamatan, Lihat </w:t>
      </w:r>
      <w:r w:rsidRPr="002D001B">
        <w:fldChar w:fldCharType="begin" w:fldLock="1"/>
      </w:r>
      <w:r w:rsidRPr="002D001B">
        <w:instrText>ADDIN CSL_CITATION {"citationItems":[{"id":"ITEM-1","itemData":{"ISBN":"083082572X","abstract":"Early in the nineteenth century Ernst Troeltsch, the great German liberal thinker, published the influential essay \"The Place of Christianity Among the World Religions.\" The question of the relation of Christianity to other religions is every bit as relevant as and perhaps even more urgent today than it was then. Beginning with a consideration of the biblical perspective, Veli-Matti Kärkkäinen surveys the variety of diverse answers proposed by teachers of the church down through the ages. His reviews include the writings of Justin Martyr, Irenaeus and Clement of Alexandria, as well as those of Augustine, Luther, Calvin, and a broad selection of later Protestant and Catholic thinkers. He completes the historical section with an astute look at the radical challenges of Enlightenment and classical liberalism and the emergence of the fulfillment theory of religions. The bulk of Kärkkäinen's work provides a detailed and comprehensive survey of major confessional movements and theologians' opinions on the contemporary scene. Kärkkäinen provides succinct and trenchant descriptions of a wide diversity of theologians, including Karl Barth, Hendrik Kraemer, Paul Althaus, Karl Rahner, Hans Küng, Jacques Dupuis, Gavin D'Costa, Paul Tillich, Wolfhart Pannenberg, Lesslie Newbigin and M. M. Thomas, as well as Sir Norman Anderson, Clark Pinnock, Amos Yong, John Hick, Stanley Samartha, Raimundo Panikkar, Paul Knitter, Millard Erickson, Harold Netland and Vinoth Ramachandra. An Introduction to the Theology of Religions is an indispensable guide for anyone seeking to grasp and work their way through the full range of alternatives offered in answer to the question, What is the relation of Christianity to other religions?","author":[{"dropping-particle":"","family":"Kärkkäinen","given":"Veli-Matti","non-dropping-particle":"","parse-names":false,"suffix":""}],"edition":"Paperback","id":"ITEM-1","issued":{"date-parts":[["2003"]]},"number-of-pages":"372","publisher":"IVP Academic","publisher-place":"Westmont, Illinois","title":"An Introduction to the Theology of Religions: Biblical, Historical &amp; Contemporary Perspectives","type":"book"},"uris":["http://www.mendeley.com/documents/?uuid=a033dbde-a41b-452b-b643-5de36c642611"]}],"mendeley":{"formattedCitation":"Veli-Matti Kärkkäinen, &lt;i&gt;An Introduction to the Theology of Religions: Biblical, Historical &amp; Contemporary Perspectives&lt;/i&gt;, Paperback (Westmont, Illinois: IVP Academic, 2003).","manualFormatting":"Veli-Matti Kärkkäinen, An Introduction to the Theology of Religions: Biblical, Historical &amp; Contemporary Perspectives, Paperback (Westmont, Illinois: IVP Academic, 2003), 118.","plainTextFormattedCitation":"Veli-Matti Kärkkäinen, An Introduction to the Theology of Religions: Biblical, Historical &amp; Contemporary Perspectives, Paperback (Westmont, Illinois: IVP Academic, 2003).","previouslyFormattedCitation":"Veli-Matti Kärkkäinen, &lt;i&gt;An Introduction to the Theology of Religions: Biblical, Historical &amp; Contemporary Perspectives&lt;/i&gt;, Paperback (Westmont, Illinois: IVP Academic, 2003)."},"properties":{"noteIndex":11},"schema":"https://github.com/citation-style-language/schema/raw/master/csl-citation.json"}</w:instrText>
      </w:r>
      <w:r w:rsidRPr="002D001B">
        <w:fldChar w:fldCharType="separate"/>
      </w:r>
      <w:r w:rsidRPr="002D001B">
        <w:rPr>
          <w:noProof/>
        </w:rPr>
        <w:t xml:space="preserve">Veli-Matti Kärkkäinen, </w:t>
      </w:r>
      <w:r w:rsidRPr="002D001B">
        <w:rPr>
          <w:i/>
          <w:noProof/>
        </w:rPr>
        <w:t>An Introduction to the Theology of Religions: Biblical, Historical &amp; Contemporary Perspectives</w:t>
      </w:r>
      <w:r w:rsidRPr="002D001B">
        <w:rPr>
          <w:noProof/>
        </w:rPr>
        <w:t>, Paperback (Westmont, Illinois: IVP Academic, 2003), 118.</w:t>
      </w:r>
      <w:r w:rsidRPr="002D001B">
        <w:fldChar w:fldCharType="end"/>
      </w:r>
      <w:r w:rsidRPr="002D001B">
        <w:t xml:space="preserve"> D'Costa menegaskan bahwa dokumen Konsili Vatikan II memiliki ketidakmampuan untuk menegaskan peran agama-agama lain, </w:t>
      </w:r>
      <w:r w:rsidRPr="002D001B">
        <w:fldChar w:fldCharType="begin" w:fldLock="1"/>
      </w:r>
      <w:r w:rsidRPr="002D001B">
        <w:instrText>ADDIN CSL_CITATION {"citationItems":[{"id":"ITEM-1","itemData":{"ISBN":"978-1-57075-303-9","author":[{"dropping-particle":"","family":"D'Costa","given":"Gavin","non-dropping-particle":"","parse-names":false,"suffix":""}],"container-title":"Faith Meets Faith Series","id":"ITEM-1","issued":{"date-parts":[["2000"]]},"number-of-pages":"187","publisher":"Orbis Books","publisher-place":"Maryknoll, N.Y","title":"The Meeting of Religions and the Trinity: Faith Meets Faith","type":"book"},"locator":"105","uris":["http://www.mendeley.com/documents/?uuid=ff63545f-51ae-4f82-b16d-f55af851fe46"]}],"mendeley":{"formattedCitation":"Gavin D’Costa, &lt;i&gt;The Meeting of Religions and the Trinity: Faith Meets Faith&lt;/i&gt;, &lt;i&gt;Faith Meets Faith Series&lt;/i&gt; (Maryknoll, N.Y: Orbis Books, 2000), 105.","manualFormatting":"Gavin D’Costa, The Meeting of Religions and the Trinity: Faith Meets Faith (Maryknoll, N.Y: Orbis Books, 2000), 105.","plainTextFormattedCitation":"Gavin D’Costa, The Meeting of Religions and the Trinity: Faith Meets Faith, Faith Meets Faith Series (Maryknoll, N.Y: Orbis Books, 2000), 105.","previouslyFormattedCitation":"Gavin D’Costa, &lt;i&gt;The Meeting of Religions and the Trinity: Faith Meets Faith&lt;/i&gt;, &lt;i&gt;Faith Meets Faith Series&lt;/i&gt; (Maryknoll, N.Y: Orbis Books, 2000), 105."},"properties":{"noteIndex":11},"schema":"https://github.com/citation-style-language/schema/raw/master/csl-citation.json"}</w:instrText>
      </w:r>
      <w:r w:rsidRPr="002D001B">
        <w:fldChar w:fldCharType="separate"/>
      </w:r>
      <w:r w:rsidRPr="002D001B">
        <w:rPr>
          <w:noProof/>
        </w:rPr>
        <w:t xml:space="preserve">Gavin D’Costa, </w:t>
      </w:r>
      <w:r w:rsidRPr="002D001B">
        <w:rPr>
          <w:i/>
          <w:noProof/>
        </w:rPr>
        <w:t>The Meeting of Religions and the Trinity: Faith Meets Faith</w:t>
      </w:r>
      <w:r w:rsidRPr="002D001B">
        <w:rPr>
          <w:noProof/>
        </w:rPr>
        <w:t xml:space="preserve"> (Maryknoll, N.Y: Orbis Books, 2000), 105.</w:t>
      </w:r>
      <w:r w:rsidRPr="002D001B">
        <w:fldChar w:fldCharType="end"/>
      </w:r>
    </w:p>
  </w:footnote>
  <w:footnote w:id="12">
    <w:p w14:paraId="414ED91E" w14:textId="53E65D2A" w:rsidR="002D001B" w:rsidRPr="002D001B" w:rsidRDefault="002D001B" w:rsidP="002D001B">
      <w:pPr>
        <w:pStyle w:val="Kurios-CatatanKaki"/>
      </w:pPr>
      <w:r w:rsidRPr="002D001B">
        <w:rPr>
          <w:rStyle w:val="FootnoteReference"/>
          <w:lang w:val="id-ID"/>
        </w:rPr>
        <w:footnoteRef/>
      </w:r>
      <w:r w:rsidRPr="002D001B">
        <w:t xml:space="preserve"> Diperkenalkan Alan Race. Marianne Moyaert misalnya menyebutkan bahwa tipologi tripolar tidak cukup menjembatani perjumpaan Kristen dengan agama lain. Hal ini terbukti dari pemilihan salah satu dari tipologi tripolar pada akhirnya akan menjadikan agama tersebut eksklusif. Sependapat dengan Moyaert, Daniel Strange juga mengatakan bahwa pada akhirnya semua pilihan dari tipologi tripolar hanya akan berakhir pada sifat eksklusif. Menurutnya, baik eksklusivisme, inklusivisme dan pluralisme akan menemukan kebuntuan di dalam perjumpaan Kristen dengan agama lain. Pilihan mana pun yang diambil menjadikan Kristen istimewa dibanding dengan yang lain dan akan membuat yang lain terasing, lihat </w:t>
      </w:r>
      <w:r w:rsidRPr="002D001B">
        <w:fldChar w:fldCharType="begin" w:fldLock="1"/>
      </w:r>
      <w:r w:rsidRPr="002D001B">
        <w:instrText>ADDIN CSL_CITATION {"citationItems":[{"id":"ITEM-1","itemData":{"author":[{"dropping-particle":"","family":"Strange","given":"Daniel","non-dropping-particle":"","parse-names":false,"suffix":""}],"container-title":"Only One Way? Three Christian Responses to the Uniqueness of Christ in a Religiously Pluralist World","editor":[{"dropping-particle":"","family":"D’Costa","given":"Gavin","non-dropping-particle":"","parse-names":false,"suffix":""},{"dropping-particle":"","family":"Knitter","given":"Paul","non-dropping-particle":"","parse-names":false,"suffix":""},{"dropping-particle":"","family":"Strange","given":"Daniel","non-dropping-particle":"","parse-names":false,"suffix":""}],"id":"ITEM-1","issued":{"date-parts":[["2011"]]},"page":"91-138","publisher":"SCM Press","publisher-place":"London","title":"Perilous Exchange, Precious Good News: A Reformed ‘Subversive Fulfilment’ Interpretation of Other Religions","type":"chapter"},"locator":"96","uris":["http://www.mendeley.com/documents/?uuid=9cf5db9b-e4fd-430a-bb1f-04a742b018d3"]}],"mendeley":{"formattedCitation":"Daniel Strange, “Perilous Exchange, Precious Good News: A Reformed ‘Subversive Fulfilment’ Interpretation of Other Religions,” in &lt;i&gt;Only One Way? Three Christian Responses to the Uniqueness of Christ in a Religiously Pluralist World&lt;/i&gt;, ed. Gavin D’Costa, Paul Knitter, and Daniel Strange (London: SCM Press, 2011), 96.","manualFormatting":"Daniel Strange, “Perilous Exchange, Precious Good News: A Reformed ‘Subversive Fulfilment’ Interpretation of Other Religions,” in Only One Way? Three Christian Responses to the Uniqueness of Christ in a Religiously Pluralist World, ed. Gavin D’Costa, Paul Knitter, and Daniel Strange (London: SCM Press, 2011), 96.","plainTextFormattedCitation":"Daniel Strange, “Perilous Exchange, Precious Good News: A Reformed ‘Subversive Fulfilment’ Interpretation of Other Religions,” in Only One Way? Three Christian Responses to the Uniqueness of Christ in a Religiously Pluralist World, ed. Gavin D’Costa, Paul Knitter, and Daniel Strange (London: SCM Press, 2011), 96.","previouslyFormattedCitation":"Daniel Strange, “Perilous Exchange, Precious Good News: A Reformed ‘Subversive Fulfilment’ Interpretation of Other Religions,” in &lt;i&gt;Only One Way? Three Christian Responses to the Uniqueness of Christ in a Religiously Pluralist World&lt;/i&gt;, ed. Gavin D’Costa, Paul Knitter, and Daniel Strange (London: SCM Press, 2011), 96."},"properties":{"noteIndex":12},"schema":"https://github.com/citation-style-language/schema/raw/master/csl-citation.json"}</w:instrText>
      </w:r>
      <w:r w:rsidRPr="002D001B">
        <w:fldChar w:fldCharType="separate"/>
      </w:r>
      <w:r w:rsidRPr="002D001B">
        <w:rPr>
          <w:noProof/>
        </w:rPr>
        <w:t xml:space="preserve">Daniel Strange, “Perilous Exchange, Precious Good News: A Reformed ‘Subversive Fulfilment’ Interpretation of Other Religions,” in </w:t>
      </w:r>
      <w:r w:rsidRPr="002D001B">
        <w:rPr>
          <w:i/>
          <w:noProof/>
        </w:rPr>
        <w:t>Only One Way? Three Christian Responses to the Uniqueness of Christ in a Religiously Pluralist World</w:t>
      </w:r>
      <w:r w:rsidRPr="002D001B">
        <w:rPr>
          <w:noProof/>
        </w:rPr>
        <w:t>, ed. Gavin D’Costa, Paul Knitter, and Daniel Strange (London: SCM Press, 2011), 96.</w:t>
      </w:r>
      <w:r w:rsidRPr="002D001B">
        <w:fldChar w:fldCharType="end"/>
      </w:r>
      <w:r w:rsidRPr="002D001B">
        <w:t xml:space="preserve"> </w:t>
      </w:r>
    </w:p>
  </w:footnote>
  <w:footnote w:id="13">
    <w:p w14:paraId="26A7E575" w14:textId="0A55EFD5" w:rsidR="002D001B" w:rsidRPr="002D001B" w:rsidRDefault="002D001B" w:rsidP="002D001B">
      <w:pPr>
        <w:pStyle w:val="Kurios-CatatanKaki"/>
      </w:pPr>
      <w:r w:rsidRPr="002D001B">
        <w:rPr>
          <w:rStyle w:val="FootnoteReference"/>
          <w:lang w:val="id-ID"/>
        </w:rPr>
        <w:footnoteRef/>
      </w:r>
      <w:r w:rsidRPr="002D001B">
        <w:t xml:space="preserve"> Lihat </w:t>
      </w:r>
      <w:r w:rsidRPr="002D001B">
        <w:fldChar w:fldCharType="begin" w:fldLock="1"/>
      </w:r>
      <w:r w:rsidRPr="002D001B">
        <w:instrText>ADDIN CSL_CITATION {"citationItems":[{"id":"ITEM-1","itemData":{"ISBN":"978-0-334-02555-9","author":[{"dropping-particle":"","family":"Race","given":"Alan","non-dropping-particle":"","parse-names":false,"suffix":""}],"edition":"2nd ed","id":"ITEM-1","issued":{"date-parts":[["1983"]]},"number-of-pages":"184","publisher":"SCM Press","publisher-place":"London","title":"Christians and Religious Pluralism: Patterns in the Christian Theology of Religions","type":"book"},"locator":"11","uris":["http://www.mendeley.com/documents/?uuid=7c49517b-32e4-454b-8f98-f074019fdf24"]},{"id":"ITEM-2","itemData":{"ISBN":"978-90-420-3279-8 978-90-420-3280-4","abstract":"Can one maintain one's religious identity without closing oneself from the other? In general, Christian reflection on interreligious dialogue begins with a theological reflection on religious plurality that assumes that one cannot engage seriously in interreligious dialogue without a sound theology of religions. In this book, Marianne Moyaert critically assesses the various models for a Christian theology of religions (exclusivism, inclusivism, pluralism, particularism) by asking how these models relate to the dialogical tension between openness and identity. She argues that we need to overcome the classical theological approach of religious plurality and move in the direction of a theological hermeneutics of interreligious hospitality. To that end she turns to Paul Ricoeur, whose philosophical and hermeneutical insights can give a new turn to the discussion of the criteria, possibilities, and particularly the limits of interreligious dialogue CN - BL410 .M69 2011","author":[{"dropping-particle":"","family":"Moyaert","given":"Marianne","non-dropping-particle":"","parse-names":false,"suffix":""}],"container-title":"Currents of Encounter","id":"ITEM-2","issued":{"date-parts":[["2011"]]},"language":"eng","note":"Introduction -- The theory of religions -- The theology of religions and the tension between openness and closedness -- A critique of the pluralist model of interreligious dialogue -- The cultural-linguistic theory, postliberalism, and religious incommensurability -- The end of dialogue? -- Interreligious dialogue and hermeneutical openness -- Testimony and openness : a theological perspective","number-of-pages":"352","publisher":"Rodopi","publisher-place":"Amsterdam; New York","title":"Fragile Identities: Towards a Theology of Interreligious Hospitality","type":"book"},"locator":"16","uris":["http://www.mendeley.com/documents/?uuid=9f50caa8-a5d6-45ff-bfab-41b2697364a4"]}],"mendeley":{"formattedCitation":"Alan Race, &lt;i&gt;Christians and Religious Pluralism: Patterns in the Christian Theology of Religions&lt;/i&gt;, 2nd ed (London: SCM Press, 1983), 11; Moyaert, &lt;i&gt;Fragile Identities: Towards a Theology of Interreligious Hospitality&lt;/i&gt;, 16.","manualFormatting":"Alan Race, Christians and Religious Pluralism: Patterns in the Christian Theology of Religions, 2nd ed (London: SCM Press, 1983), 11; Moyaert, Fragile Identities, 16.","plainTextFormattedCitation":"Alan Race, Christians and Religious Pluralism: Patterns in the Christian Theology of Religions, 2nd ed (London: SCM Press, 1983), 11; Moyaert, Fragile Identities: Towards a Theology of Interreligious Hospitality, 16.","previouslyFormattedCitation":"Alan Race, &lt;i&gt;Christians and Religious Pluralism: Patterns in the Christian Theology of Religions&lt;/i&gt;, 2nd ed (London: SCM Press, 1983), 11; Moyaert, &lt;i&gt;Fragile Identities: Towards a Theology of Interreligious Hospitality&lt;/i&gt;, 16."},"properties":{"noteIndex":13},"schema":"https://github.com/citation-style-language/schema/raw/master/csl-citation.json"}</w:instrText>
      </w:r>
      <w:r w:rsidRPr="002D001B">
        <w:fldChar w:fldCharType="separate"/>
      </w:r>
      <w:r w:rsidRPr="002D001B">
        <w:rPr>
          <w:noProof/>
        </w:rPr>
        <w:t xml:space="preserve">Alan Race, </w:t>
      </w:r>
      <w:r w:rsidRPr="002D001B">
        <w:rPr>
          <w:i/>
          <w:noProof/>
        </w:rPr>
        <w:t>Christians and Religious Pluralism: Patterns in the Christian Theology of Religions</w:t>
      </w:r>
      <w:r w:rsidRPr="002D001B">
        <w:rPr>
          <w:noProof/>
        </w:rPr>
        <w:t xml:space="preserve">, 2nd ed (London: SCM Press, 1983), 11; Moyaert, </w:t>
      </w:r>
      <w:r w:rsidRPr="002D001B">
        <w:rPr>
          <w:i/>
          <w:noProof/>
        </w:rPr>
        <w:t>Fragile Identities</w:t>
      </w:r>
      <w:r w:rsidRPr="002D001B">
        <w:rPr>
          <w:noProof/>
        </w:rPr>
        <w:t>, 16.</w:t>
      </w:r>
      <w:r w:rsidRPr="002D001B">
        <w:fldChar w:fldCharType="end"/>
      </w:r>
    </w:p>
  </w:footnote>
  <w:footnote w:id="14">
    <w:p w14:paraId="7FCEC7EB" w14:textId="6029F8C9" w:rsidR="002D001B" w:rsidRPr="002D001B" w:rsidRDefault="002D001B" w:rsidP="002D001B">
      <w:pPr>
        <w:pStyle w:val="Kurios-CatatanKaki"/>
      </w:pPr>
      <w:r w:rsidRPr="002D001B">
        <w:rPr>
          <w:rStyle w:val="FootnoteReference"/>
          <w:lang w:val="id-ID"/>
        </w:rPr>
        <w:footnoteRef/>
      </w:r>
      <w:r w:rsidRPr="002D001B">
        <w:t xml:space="preserve"> Banyak teolog agama-agama yang mencoba merevolusi pandangan inklusivisme dan menyatakan bahwa pandangan inklusivisme dalam revolusi baru dapat dipertimbangkan sebagai model keterbukaan terhadap agama lain. Namun, penulis beranggapan bahwa pengujian terhadap pandangan tersebut membutuhkan proses panjang sehingga dalam penulisan ini penulis tidak akan membahas secara khusus revolusi inklusivisme. Salah satu teolog yang mengupayakan revolusi terhadap inklusivisme adalah Jacques Dupuis dengan memberikan penambahan pandangan dialogis pada inklusivisme. Pandangan ini didasarkan pada Kristus yang menjadi konstitutif relasional. </w:t>
      </w:r>
    </w:p>
  </w:footnote>
  <w:footnote w:id="15">
    <w:p w14:paraId="76DA12B7" w14:textId="646761E7"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{"citationItems":[{"id":"ITEM-1","itemData":{"ISBN":"978-0-334-02555-9","author":[{"dropping-particle":"","family":"Race","given":"Alan","non-dropping-particle":"","parse-names":false,"suffix":""}],"edition":"2nd ed","id":"ITEM-1","issued":{"date-parts":[["1983"]]},"number-of-pages":"184","publisher":"SCM Press","publisher-place":"London","title":"Christians and Religious Pluralism: Patterns in the Christian Theology of Religions","type":"book"},"locator":"38","uris":["http://www.mendeley.com/documents/?uuid=7c49517b-32e4-454b-8f98-f074019fdf24"]}],"mendeley":{"formattedCitation":"Race, &lt;i&gt;Christians and Religious Pluralism: Patterns in the Christian Theology of Religions&lt;/i&gt;, 38.","manualFormatting":"Race, Christians and Religious Pluralism, 38.","plainTextFormattedCitation":"Race, Christians and Religious Pluralism: Patterns in the Christian Theology of Religions, 38.","previouslyFormattedCitation":"Race, &lt;i&gt;Christians and Religious Pluralism: Patterns in the Christian Theology of Religions&lt;/i&gt;, 38."},"properties":{"noteIndex":15},"schema":"https://github.com/citation-style-language/schema/raw/master/csl-citation.json"}</w:instrText>
      </w:r>
      <w:r w:rsidRPr="002D001B">
        <w:fldChar w:fldCharType="separate"/>
      </w:r>
      <w:r w:rsidRPr="002D001B">
        <w:rPr>
          <w:noProof/>
        </w:rPr>
        <w:t xml:space="preserve">Race, </w:t>
      </w:r>
      <w:r w:rsidRPr="002D001B">
        <w:rPr>
          <w:i/>
          <w:noProof/>
        </w:rPr>
        <w:t>Christians and Religious Pluralism</w:t>
      </w:r>
      <w:r w:rsidRPr="002D001B">
        <w:rPr>
          <w:noProof/>
        </w:rPr>
        <w:t>, 38.</w:t>
      </w:r>
      <w:r w:rsidRPr="002D001B">
        <w:fldChar w:fldCharType="end"/>
      </w:r>
    </w:p>
  </w:footnote>
  <w:footnote w:id="16">
    <w:p w14:paraId="3CE50736" w14:textId="3F1814B6"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{"citationItems":[{"id":"ITEM-1","itemData":{"ISBN":"978-0-334-02555-9","author":[{"dropping-particle":"","family":"Race","given":"Alan","non-dropping-particle":"","parse-names":false,"suffix":""}],"edition":"2nd ed","id":"ITEM-1","issued":{"date-parts":[["1983"]]},"number-of-pages":"184","publisher":"SCM Press","publisher-place":"London","title":"Christians and Religious Pluralism: Patterns in the Christian Theology of Religions","type":"book"},"locator":"32","uris":["http://www.mendeley.com/documents/?uuid=7c49517b-32e4-454b-8f98-f074019fdf24"]}],"mendeley":{"formattedCitation":"Race, 32.","manualFormatting":"Race, Christians and Religious Pluralism, 32.","plainTextFormattedCitation":"Race, 32.","previouslyFormattedCitation":"Race, 32."},"properties":{"noteIndex":16},"schema":"https://github.com/citation-style-language/schema/raw/master/csl-citation.json"}</w:instrText>
      </w:r>
      <w:r w:rsidRPr="002D001B">
        <w:fldChar w:fldCharType="separate"/>
      </w:r>
      <w:r w:rsidRPr="002D001B">
        <w:rPr>
          <w:noProof/>
        </w:rPr>
        <w:t xml:space="preserve">Race, </w:t>
      </w:r>
      <w:r w:rsidRPr="002D001B">
        <w:rPr>
          <w:i/>
          <w:noProof/>
        </w:rPr>
        <w:t>Christians and Religious Pluralism,</w:t>
      </w:r>
      <w:r w:rsidRPr="002D001B">
        <w:rPr>
          <w:noProof/>
        </w:rPr>
        <w:t xml:space="preserve"> 32.</w:t>
      </w:r>
      <w:r w:rsidRPr="002D001B">
        <w:fldChar w:fldCharType="end"/>
      </w:r>
      <w:r w:rsidRPr="002D001B">
        <w:t xml:space="preserve"> </w:t>
      </w:r>
    </w:p>
  </w:footnote>
  <w:footnote w:id="17">
    <w:p w14:paraId="06EB4E36" w14:textId="269AB6F9" w:rsidR="002D001B" w:rsidRPr="002D001B" w:rsidRDefault="002D001B" w:rsidP="002D001B">
      <w:pPr>
        <w:pStyle w:val="Kurios-CatatanKaki"/>
      </w:pPr>
      <w:r w:rsidRPr="002D001B">
        <w:rPr>
          <w:rStyle w:val="FootnoteReference"/>
          <w:lang w:val="id-ID"/>
        </w:rPr>
        <w:footnoteRef/>
      </w:r>
      <w:r w:rsidRPr="002D001B">
        <w:t xml:space="preserve"> Lihat </w:t>
      </w:r>
      <w:r w:rsidRPr="002D001B">
        <w:fldChar w:fldCharType="begin" w:fldLock="1"/>
      </w:r>
      <w:r w:rsidRPr="002D001B">
        <w:instrText>ADDIN CSL_CITATION {"citationItems":[{"id":"ITEM-1","itemData":{"ISBN":"978-979-21-1755-4","author":[{"dropping-particle":"","family":"Knitter","given":"Paul F.","non-dropping-particle":"","parse-names":false,"suffix":""}],"id":"ITEM-1","issued":{"date-parts":[["2008"]]},"language":"Indonesian","publisher":"Kanisius","publisher-place":"Yogyakarta","title":"Pengantar Teologi Agama-agama","type":"book"},"uris":["http://www.mendeley.com/documents/?uuid=8f1a46db-53ce-4fe6-a5f3-8b1732c2bc99"]}],"mendeley":{"formattedCitation":"Paul F. Knitter, &lt;i&gt;Pengantar Teologi Agama-agama&lt;/i&gt; (Yogyakarta: Kanisius, 2008).","manualFormatting":"Paul F. Knitter, Pengantar Teologi Agama-agama (Yogyakarta: Kanisius, 2008).","plainTextFormattedCitation":"Paul F. Knitter, Pengantar Teologi Agama-agama (Yogyakarta: Kanisius, 2008).","previouslyFormattedCitation":"Paul F. Knitter, &lt;i&gt;Pengantar Teologi Agama-agama&lt;/i&gt; (Yogyakarta: Kanisius, 2008)."},"properties":{"noteIndex":17},"schema":"https://github.com/citation-style-language/schema/raw/master/csl-citation.json"}</w:instrText>
      </w:r>
      <w:r w:rsidRPr="002D001B">
        <w:fldChar w:fldCharType="separate"/>
      </w:r>
      <w:r w:rsidRPr="002D001B">
        <w:rPr>
          <w:noProof/>
        </w:rPr>
        <w:t xml:space="preserve">Paul F. Knitter, </w:t>
      </w:r>
      <w:r w:rsidRPr="002D001B">
        <w:rPr>
          <w:i/>
          <w:noProof/>
        </w:rPr>
        <w:t>Pengantar Teologi Agama-agama</w:t>
      </w:r>
      <w:r w:rsidRPr="002D001B">
        <w:rPr>
          <w:noProof/>
        </w:rPr>
        <w:t xml:space="preserve"> (Yogyakarta: Kanisius, 2008).</w:t>
      </w:r>
      <w:r w:rsidRPr="002D001B">
        <w:fldChar w:fldCharType="end"/>
      </w:r>
      <w:r w:rsidRPr="002D001B">
        <w:t xml:space="preserve"> Knitter memiliki empat model, yaitu penggantian, pemenuhan, mutualitas, dan penerimaan. Pertama, model penggantian. Model ini memahami bahwa agama Kristen hadir untuk menggantikan semua agama yang lain. Agama Kristen adalah satu-satunya agama yang benar, sehingga agama lain diharapkan menjadi agama Kristen untuk mendapatkan keselamatan. Kasih Allah memang universal, namun itu dinyatakan dalam sosok Yesus yang partikular. Pandangan ini menyebutkan bahwa penganut agama Kristen bisa saja menemukan kebenaran dalam agama lain. Akan tetapi, mereka tidak akan selamat sebab tidak ada keselamatan selain di dalam Kristus. Oleh karena itu, keberadaan agama lain bersifat sementara saja, pada akhirnya agama Kristen akan menggantikannya. Kedua, model pemenuhan. Dalam model ini, agama Kristen mengakui bahwa Tuhan hadir dalam semua agama, namun demikian, kehadiran Tuhan dalam agama-agama lain tidak dapat disamakan dengan kehadiran-Nya melalui Kristus di dalam agama Kristen. Agama lain dapat merasakan kasih Allah, namun tidak secara sempurna. Dengan demikian adalah tugas dari agama Kristen untuk menyempurnakan agama-agama lain. Ketiga, model mutualitas. Model ini memberikan perhatian besar pada upaya untuk melakukan dialog dengan agama-agama lain. Dialog diharapkan dapat memberikan ruang untuk saling belajar tanpa harus saling mencurigai. Mutualitas memahami bahwa semua agama adalah setara. Dalam upaya mencapai dialog yang mutualis, model ini menggunakan tiga jembatan, yaitu jembatan filosofis-historis, religius-mistik, dan etis-praktis. Model penerimaan. Model ini menyeimbangkan antara universalitas dan partikularitas. Setiap agama tidak memiliki superioritas karena ada banyak agama yang benar. Dalam model ini, diakui bahwa agama-agama memiliki perbedaan-perbedaan dan setiap agama harus menerima perbedaan yang ada. Model ini menekankan untuk mengasihi sesama manusia. Semua agama memiliki sudut pandangnya sendiri, tidak ada satu agama pun yang mampu melihat agama lain sebagaimana mereka sendiri melihatnya. </w:t>
      </w:r>
    </w:p>
  </w:footnote>
  <w:footnote w:id="18">
    <w:p w14:paraId="3CBD7709" w14:textId="13E79706" w:rsidR="002D001B" w:rsidRPr="002D001B" w:rsidRDefault="002D001B" w:rsidP="002D001B">
      <w:pPr>
        <w:pStyle w:val="Kurios-CatatanKaki"/>
        <w:rPr>
          <w:lang w:val="en-ID"/>
        </w:rPr>
      </w:pPr>
      <w:r w:rsidRPr="002D001B">
        <w:rPr>
          <w:rStyle w:val="FootnoteReference"/>
        </w:rPr>
        <w:footnoteRef/>
      </w:r>
      <w:r w:rsidRPr="002D001B">
        <w:t xml:space="preserve"> </w:t>
      </w:r>
      <w:r w:rsidRPr="002D001B">
        <w:rPr>
          <w:lang w:val="en-ID"/>
        </w:rPr>
        <w:t xml:space="preserve">Lihat </w:t>
      </w:r>
      <w:r w:rsidRPr="002D001B">
        <w:fldChar w:fldCharType="begin" w:fldLock="1"/>
      </w:r>
      <w:r w:rsidRPr="002D001B">
        <w:instrText>ADDIN CSL_CITATION {"citationItems":[{"id":"ITEM-1","itemData":{"ISBN":"978-0-8028-6853-4","author":[{"dropping-particle":"","family":"Kärkkäinen","given":"Veli-Matti","non-dropping-particle":"","parse-names":false,"suffix":""}],"container-title":"A Constructive Christian Theology for the Pluralistic World","id":"ITEM-1","issued":{"date-parts":[["2013"]]},"number-of-pages":"453","publisher":"William B. Eerdmans Pub. Co","publisher-place":"Grand Rapids, Michigan","title":"Christ and Reconciliation: A Constructive Christian Theology for the Pluralistic World","type":"book"},"uris":["http://www.mendeley.com/documents/?uuid=2905d9b6-f0cc-47c7-ab25-93981655d1d8"]}],"mendeley":{"formattedCitation":"Veli-Matti Kärkkäinen, &lt;i&gt;Christ and Reconciliation: A Constructive Christian Theology for the Pluralistic World&lt;/i&gt;, &lt;i&gt;A Constructive Christian Theology for the Pluralistic World&lt;/i&gt; (Grand Rapids, Michigan: William B. Eerdmans Pub. Co, 2013).","plainTextFormattedCitation":"Veli-Matti Kärkkäinen, Christ and Reconciliation: A Constructive Christian Theology for the Pluralistic World, A Constructive Christian Theology for the Pluralistic World (Grand Rapids, Michigan: William B. Eerdmans Pub. Co, 2013).","previouslyFormattedCitation":"Veli-Matti Kärkkäinen, &lt;i&gt;Christ and Reconciliation: A Constructive Christian Theology for the Pluralistic World&lt;/i&gt;, &lt;i&gt;A Constructive Christian Theology for the Pluralistic World&lt;/i&gt; (Grand Rapids, Michigan: William B. Eerdmans Pub. Co, 2013)."},"properties":{"noteIndex":18},"schema":"https://github.com/citation-style-language/schema/raw/master/csl-citation.json"}</w:instrText>
      </w:r>
      <w:r w:rsidRPr="002D001B">
        <w:fldChar w:fldCharType="separate"/>
      </w:r>
      <w:r w:rsidRPr="002D001B">
        <w:rPr>
          <w:noProof/>
        </w:rPr>
        <w:t xml:space="preserve">Veli-Matti Kärkkäinen, </w:t>
      </w:r>
      <w:r w:rsidRPr="002D001B">
        <w:rPr>
          <w:i/>
          <w:noProof/>
        </w:rPr>
        <w:t>Christ and Reconciliation: A Constructive Christian Theology for the Pluralistic World</w:t>
      </w:r>
      <w:r w:rsidRPr="002D001B">
        <w:rPr>
          <w:noProof/>
        </w:rPr>
        <w:t xml:space="preserve">, </w:t>
      </w:r>
      <w:r w:rsidRPr="002D001B">
        <w:rPr>
          <w:i/>
          <w:noProof/>
        </w:rPr>
        <w:t>A Constructive Christian Theology for the Pluralistic World</w:t>
      </w:r>
      <w:r w:rsidRPr="002D001B">
        <w:rPr>
          <w:noProof/>
        </w:rPr>
        <w:t xml:space="preserve"> (Grand Rapids, Michigan: William B. Eerdmans Pub. Co, 2013).</w:t>
      </w:r>
      <w:r w:rsidRPr="002D001B">
        <w:fldChar w:fldCharType="end"/>
      </w:r>
    </w:p>
  </w:footnote>
  <w:footnote w:id="19">
    <w:p w14:paraId="1D69FC3F" w14:textId="328C2D6C" w:rsidR="002D001B" w:rsidRPr="002D001B" w:rsidRDefault="002D001B" w:rsidP="002D001B">
      <w:pPr>
        <w:pStyle w:val="Kurios-CatatanKaki"/>
        <w:rPr>
          <w:lang w:val="en-ID"/>
        </w:rPr>
      </w:pPr>
      <w:r w:rsidRPr="002D001B">
        <w:rPr>
          <w:rStyle w:val="FootnoteReference"/>
        </w:rPr>
        <w:footnoteRef/>
      </w:r>
      <w:r w:rsidRPr="002D001B">
        <w:t xml:space="preserve"> </w:t>
      </w:r>
      <w:r w:rsidRPr="002D001B">
        <w:fldChar w:fldCharType="begin" w:fldLock="1"/>
      </w:r>
      <w:r w:rsidRPr="002D001B">
        <w:instrText>ADDIN CSL_CITATION {"citationItems":[{"id":"ITEM-1","itemData":{"abstract":"Fuller theology professor Veli-Matti Kärkkäinen thinks Catholics and Pentecostals are doing today's best theology.","author":[{"dropping-particle":"","family":"Toth","given":"Interview by Viktor J","non-dropping-particle":"","parse-names":false,"suffix":""}],"container-title":"ChristianityToday.com","id":"ITEM-1","issued":{"date-parts":[["2019","11","19"]]},"language":"en","title":"‘A Theology of Everything’ for a Pluralistic World","type":"article"},"uris":["http://www.mendeley.com/documents/?uuid=9d3f3694-9903-45b5-9d53-84a1d643818a"]}],"mendeley":{"formattedCitation":"Interview by Viktor J Toth, “‘A Theology of Everything’ for a Pluralistic World,” &lt;i&gt;ChristianityToday.Com&lt;/i&gt;, November 19, 2019, https://www.christianitytoday.com/ct/2019/february-web-only/veli-matti-krkkinen-interview-theology-of-everything.html.","plainTextFormattedCitation":"Interview by Viktor J Toth, “‘A Theology of Everything’ for a Pluralistic World,” ChristianityToday.Com, November 19, 2019, https://www.christianitytoday.com/ct/2019/february-web-only/veli-matti-krkkinen-interview-theology-of-everything.html.","previouslyFormattedCitation":"Interview by Viktor J Toth, “‘A Theology of Everything’ for a Pluralistic World,” &lt;i&gt;ChristianityToday.Com&lt;/i&gt;, November 19, 2019, https://www.christianitytoday.com/ct/2019/february-web-only/veli-matti-krkkinen-interview-theology-of-everything.html."},"properties":{"noteIndex":19},"schema":"https://github.com/citation-style-language/schema/raw/master/csl-citation.json"}</w:instrText>
      </w:r>
      <w:r w:rsidRPr="002D001B">
        <w:fldChar w:fldCharType="separate"/>
      </w:r>
      <w:r w:rsidRPr="002D001B">
        <w:rPr>
          <w:noProof/>
        </w:rPr>
        <w:t xml:space="preserve">Interview by Viktor J Toth, “‘A Theology of Everything’ for a Pluralistic World,” </w:t>
      </w:r>
      <w:r w:rsidRPr="002D001B">
        <w:rPr>
          <w:i/>
          <w:noProof/>
        </w:rPr>
        <w:t>ChristianityToday.Com</w:t>
      </w:r>
      <w:r w:rsidRPr="002D001B">
        <w:rPr>
          <w:noProof/>
        </w:rPr>
        <w:t>, November 19, 2019, https://www.christianitytoday.com/ct/2019/february-web-only/veli-matti-krkkinen-interview-theology-of-everything.html.</w:t>
      </w:r>
      <w:r w:rsidRPr="002D001B">
        <w:fldChar w:fldCharType="end"/>
      </w:r>
    </w:p>
  </w:footnote>
  <w:footnote w:id="20">
    <w:p w14:paraId="5D207F9E" w14:textId="1DA45C17" w:rsidR="002D001B" w:rsidRPr="002D001B" w:rsidRDefault="002D001B" w:rsidP="002D001B">
      <w:pPr>
        <w:pStyle w:val="Kurios-CatatanKaki"/>
        <w:rPr>
          <w:lang w:val="en-ID"/>
        </w:rPr>
      </w:pPr>
      <w:r w:rsidRPr="002D001B">
        <w:rPr>
          <w:rStyle w:val="FootnoteReference"/>
        </w:rPr>
        <w:footnoteRef/>
      </w:r>
      <w:r w:rsidRPr="002D001B">
        <w:t xml:space="preserve"> </w:t>
      </w:r>
      <w:r w:rsidRPr="002D001B">
        <w:fldChar w:fldCharType="begin" w:fldLock="1"/>
      </w:r>
      <w:r w:rsidRPr="002D001B">
        <w:instrText>ADDIN CSL_CITATION {"citationItems":[{"id":"ITEM-1","itemData":{"ISBN":"083082572X","abstract":"Early in the nineteenth century Ernst Troeltsch, the great German liberal thinker, published the influential essay \"The Place of Christianity Among the World Religions.\" The question of the relation of Christianity to other religions is every bit as relevant as and perhaps even more urgent today than it was then. Beginning with a consideration of the biblical perspective, Veli-Matti Kärkkäinen surveys the variety of diverse answers proposed by teachers of the church down through the ages. His reviews include the writings of Justin Martyr, Irenaeus and Clement of Alexandria, as well as those of Augustine, Luther, Calvin, and a broad selection of later Protestant and Catholic thinkers. He completes the historical section with an astute look at the radical challenges of Enlightenment and classical liberalism and the emergence of the fulfillment theory of religions. The bulk of Kärkkäinen's work provides a detailed and comprehensive survey of major confessional movements and theologians' opinions on the contemporary scene. Kärkkäinen provides succinct and trenchant descriptions of a wide diversity of theologians, including Karl Barth, Hendrik Kraemer, Paul Althaus, Karl Rahner, Hans Küng, Jacques Dupuis, Gavin D'Costa, Paul Tillich, Wolfhart Pannenberg, Lesslie Newbigin and M. M. Thomas, as well as Sir Norman Anderson, Clark Pinnock, Amos Yong, John Hick, Stanley Samartha, Raimundo Panikkar, Paul Knitter, Millard Erickson, Harold Netland and Vinoth Ramachandra. An Introduction to the Theology of Religions is an indispensable guide for anyone seeking to grasp and work their way through the full range of alternatives offered in answer to the question, What is the relation of Christianity to other religions?","author":[{"dropping-particle":"","family":"Kärkkäinen","given":"Veli-Matti","non-dropping-particle":"","parse-names":false,"suffix":""}],"edition":"Paperback","id":"ITEM-1","issued":{"date-parts":[["2003"]]},"number-of-pages":"372","publisher":"IVP Academic","publisher-place":"Westmont, Illinois","title":"An Introduction to the Theology of Religions: Biblical, Historical &amp; Contemporary Perspectives","type":"book"},"locator":"17","uris":["http://www.mendeley.com/documents/?uuid=a033dbde-a41b-452b-b643-5de36c642611"]}],"mendeley":{"formattedCitation":"Kärkkäinen, &lt;i&gt;An Introduction to the Theology of Religions: Biblical, Historical &amp; Contemporary Perspectives&lt;/i&gt;, 17.","manualFormatting":"Kärkkäinen, An Introduction to the Theology of Religions, 17.","plainTextFormattedCitation":"Kärkkäinen, An Introduction to the Theology of Religions: Biblical, Historical &amp; Contemporary Perspectives, 17.","previouslyFormattedCitation":"Kärkkäinen, &lt;i&gt;An Introduction to the Theology of Religions: Biblical, Historical &amp; Contemporary Perspectives&lt;/i&gt;, 17."},"properties":{"noteIndex":20},"schema":"https://github.com/citation-style-language/schema/raw/master/csl-citation.json"}</w:instrText>
      </w:r>
      <w:r w:rsidRPr="002D001B">
        <w:fldChar w:fldCharType="separate"/>
      </w:r>
      <w:r w:rsidRPr="002D001B">
        <w:rPr>
          <w:noProof/>
        </w:rPr>
        <w:t xml:space="preserve">Kärkkäinen, </w:t>
      </w:r>
      <w:r w:rsidRPr="002D001B">
        <w:rPr>
          <w:i/>
          <w:noProof/>
        </w:rPr>
        <w:t>An Introduction to the Theology of Religions</w:t>
      </w:r>
      <w:r w:rsidRPr="002D001B">
        <w:rPr>
          <w:noProof/>
        </w:rPr>
        <w:t>, 17.</w:t>
      </w:r>
      <w:r w:rsidRPr="002D001B">
        <w:fldChar w:fldCharType="end"/>
      </w:r>
    </w:p>
  </w:footnote>
  <w:footnote w:id="21">
    <w:p w14:paraId="66A09758" w14:textId="2FB25013" w:rsidR="002D001B" w:rsidRPr="002D001B" w:rsidRDefault="002D001B" w:rsidP="002D001B">
      <w:pPr>
        <w:pStyle w:val="Kurios-CatatanKaki"/>
        <w:rPr>
          <w:lang w:val="en-ID"/>
        </w:rPr>
      </w:pPr>
      <w:r w:rsidRPr="002D001B">
        <w:rPr>
          <w:rStyle w:val="FootnoteReference"/>
        </w:rPr>
        <w:footnoteRef/>
      </w:r>
      <w:r w:rsidRPr="002D001B">
        <w:t xml:space="preserve"> </w:t>
      </w:r>
      <w:r w:rsidRPr="002D001B">
        <w:fldChar w:fldCharType="begin" w:fldLock="1"/>
      </w:r>
      <w:r w:rsidRPr="002D001B">
        <w:instrText>ADDIN CSL_CITATION {"citationItems":[{"id":"ITEM-1","itemData":{"ISBN":"978-1-138-41050-3","author":[{"dropping-particle":"","family":"Kärkkäinen","given":"Velli-Matti","non-dropping-particle":"","parse-names":false,"suffix":""}],"id":"ITEM-1","issued":{"date-parts":[["2017"]]},"language":"English","number-of-pages":"204","publisher":"Taylor &amp; Francis","publisher-place":"Abingdon, UK","title":"Trinity and Religious Pluralism: The Doctrine of the Trinity in Christian Theology of Religions","type":"book"},"locator":"2","uris":["http://www.mendeley.com/documents/?uuid=57213d22-f827-4569-88d8-11dbe3e9e1d7"]}],"mendeley":{"formattedCitation":"Velli-Matti Kärkkäinen, &lt;i&gt;Trinity and Religious Pluralism: The Doctrine of the Trinity in Christian Theology of Religions&lt;/i&gt; (Abingdon, UK: Taylor &amp; Francis, 2017), 2.","plainTextFormattedCitation":"Velli-Matti Kärkkäinen, Trinity and Religious Pluralism: The Doctrine of the Trinity in Christian Theology of Religions (Abingdon, UK: Taylor &amp; Francis, 2017), 2.","previouslyFormattedCitation":"Velli-Matti Kärkkäinen, &lt;i&gt;Trinity and Religious Pluralism: The Doctrine of the Trinity in Christian Theology of Religions&lt;/i&gt; (Abingdon, UK: Taylor &amp; Francis, 2017), 2."},"properties":{"noteIndex":21},"schema":"https://github.com/citation-style-language/schema/raw/master/csl-citation.json"}</w:instrText>
      </w:r>
      <w:r w:rsidRPr="002D001B">
        <w:fldChar w:fldCharType="separate"/>
      </w:r>
      <w:r w:rsidRPr="002D001B">
        <w:rPr>
          <w:noProof/>
        </w:rPr>
        <w:t xml:space="preserve">Velli-Matti Kärkkäinen, </w:t>
      </w:r>
      <w:r w:rsidRPr="002D001B">
        <w:rPr>
          <w:i/>
          <w:noProof/>
        </w:rPr>
        <w:t>Trinity and Religious Pluralism: The Doctrine of the Trinity in Christian Theology of Religions</w:t>
      </w:r>
      <w:r w:rsidRPr="002D001B">
        <w:rPr>
          <w:noProof/>
        </w:rPr>
        <w:t xml:space="preserve"> (Abingdon, UK: Taylor &amp; Francis, 2017), 2.</w:t>
      </w:r>
      <w:r w:rsidRPr="002D001B">
        <w:fldChar w:fldCharType="end"/>
      </w:r>
    </w:p>
  </w:footnote>
  <w:footnote w:id="22">
    <w:p w14:paraId="79593960" w14:textId="5C67007A" w:rsidR="002D001B" w:rsidRPr="002D001B" w:rsidRDefault="002D001B" w:rsidP="002D001B">
      <w:pPr>
        <w:pStyle w:val="Kurios-CatatanKaki"/>
        <w:rPr>
          <w:lang w:val="en-ID"/>
        </w:rPr>
      </w:pPr>
      <w:r w:rsidRPr="002D001B">
        <w:rPr>
          <w:rStyle w:val="FootnoteReference"/>
        </w:rPr>
        <w:footnoteRef/>
      </w:r>
      <w:r w:rsidRPr="002D001B">
        <w:t xml:space="preserve"> </w:t>
      </w:r>
      <w:r w:rsidRPr="002D001B">
        <w:fldChar w:fldCharType="begin" w:fldLock="1"/>
      </w:r>
      <w:r w:rsidRPr="002D001B">
        <w:instrText>ADDIN CSL_CITATION {"citationItems":[{"id":"ITEM-1","itemData":{"ISBN":"978-0-8028-6856-5","author":[{"dropping-particle":"","family":"Kärkkäinen","given":"Veli-Matti","non-dropping-particle":"","parse-names":false,"suffix":""}],"container-title":"A constructive christian theology for the pluralistic world CN - BT121.3 .K374 2016","id":"ITEM-1","issued":{"date-parts":[["2016"]]},"number-of-pages":"498","publisher":"William B. Eerdmans Publishing Company","publisher-place":"Grand Rapids, Michigan","title":"Spirit and Salvation: A Constructive Christian Theology for the Pluralistic World","type":"book"},"locator":"169","uris":["http://www.mendeley.com/documents/?uuid=2e43fe06-df23-4089-a5fe-360b3adfdff7"]}],"mendeley":{"formattedCitation":"Veli-Matti Kärkkäinen, &lt;i&gt;Spirit and Salvation: A Constructive Christian Theology for the Pluralistic World&lt;/i&gt;, &lt;i&gt;A Constructive Christian Theology for the Pluralistic World CN - BT121.3 .K374 2016&lt;/i&gt; (Grand Rapids, Michigan: William B. Eerdmans Publishing Company, 2016), 169.","manualFormatting":"Veli-Matti Kärkkäinen, Spirit and Salvation: A Constructive Christian Theology for the Pluralistic World, A Constructive Christian Theology for the Pluralistic World (Grand Rapids, Michigan: William B. Eerdmans Publishing Company, 2016), 169.","plainTextFormattedCitation":"Veli-Matti Kärkkäinen, Spirit and Salvation: A Constructive Christian Theology for the Pluralistic World, A Constructive Christian Theology for the Pluralistic World CN - BT121.3 .K374 2016 (Grand Rapids, Michigan: William B. Eerdmans Publishing Company, 2016), 169.","previouslyFormattedCitation":"Veli-Matti Kärkkäinen, &lt;i&gt;Spirit and Salvation: A Constructive Christian Theology for the Pluralistic World&lt;/i&gt;, &lt;i&gt;A Constructive Christian Theology for the Pluralistic World CN - BT121.3 .K374 2016&lt;/i&gt; (Grand Rapids, Michigan: William B. Eerdmans Publishing Company, 2016), 169."},"properties":{"noteIndex":22},"schema":"https://github.com/citation-style-language/schema/raw/master/csl-citation.json"}</w:instrText>
      </w:r>
      <w:r w:rsidRPr="002D001B">
        <w:fldChar w:fldCharType="separate"/>
      </w:r>
      <w:r w:rsidRPr="002D001B">
        <w:rPr>
          <w:noProof/>
        </w:rPr>
        <w:t xml:space="preserve">Veli-Matti Kärkkäinen, </w:t>
      </w:r>
      <w:r w:rsidRPr="002D001B">
        <w:rPr>
          <w:i/>
          <w:noProof/>
        </w:rPr>
        <w:t>Spirit and Salvation: A Constructive Christian Theology for the Pluralistic World</w:t>
      </w:r>
      <w:r w:rsidRPr="002D001B">
        <w:rPr>
          <w:noProof/>
        </w:rPr>
        <w:t xml:space="preserve">, </w:t>
      </w:r>
      <w:r w:rsidRPr="002D001B">
        <w:rPr>
          <w:iCs/>
          <w:noProof/>
        </w:rPr>
        <w:t>A Constructive Christian Theology for the Pluralistic World</w:t>
      </w:r>
      <w:r w:rsidRPr="002D001B">
        <w:rPr>
          <w:noProof/>
        </w:rPr>
        <w:t xml:space="preserve"> (Grand Rapids, Michigan: William B. Eerdmans Publishing Company, 2016), 169.</w:t>
      </w:r>
      <w:r w:rsidRPr="002D001B">
        <w:fldChar w:fldCharType="end"/>
      </w:r>
    </w:p>
  </w:footnote>
  <w:footnote w:id="23">
    <w:p w14:paraId="5D71FBE4" w14:textId="1A8EF492" w:rsidR="002D001B" w:rsidRPr="002D001B" w:rsidRDefault="002D001B" w:rsidP="002D001B">
      <w:pPr>
        <w:pStyle w:val="Kurios-CatatanKaki"/>
        <w:rPr>
          <w:lang w:val="en-ID"/>
        </w:rPr>
      </w:pPr>
      <w:r w:rsidRPr="002D001B">
        <w:rPr>
          <w:rStyle w:val="FootnoteReference"/>
        </w:rPr>
        <w:footnoteRef/>
      </w:r>
      <w:r w:rsidRPr="002D001B">
        <w:t xml:space="preserve"> </w:t>
      </w:r>
      <w:r w:rsidRPr="002D001B">
        <w:fldChar w:fldCharType="begin" w:fldLock="1"/>
      </w:r>
      <w:r w:rsidRPr="002D001B">
        <w:instrText>ADDIN CSL_CITATION {"citationItems":[{"id":"ITEM-1","itemData":{"DOI":"10.1177/239693930603000302","ISSN":"0272-6122","author":[{"dropping-particle":"","family":"Kärkkäinen","given":"Veli-Matti","non-dropping-particle":"","parse-names":false,"suffix":""}],"container-title":"International Bulletin of Missionary Research","id":"ITEM-1","issue":"3","issued":{"date-parts":[["2006","7","1"]]},"note":"doi: 10.1177/239693930603000302","page":"121-127","publisher":"SAGE Publications","title":"How to Speak of the Spirit among Religions: Trinitarian “Rules” for a Pneumatological Theology of Religions","type":"article-journal","volume":"30"},"locator":"122-123","uris":["http://www.mendeley.com/documents/?uuid=46e9810c-91f8-4dc8-ac3d-87cfeb9772ba"]}],"mendeley":{"formattedCitation":"Kärkkäinen, “How to Speak of the Spirit among Religions: Trinitarian ‘Rules’ for a Pneumatological Theology of Religions,” 122–23.","plainTextFormattedCitation":"Kärkkäinen, “How to Speak of the Spirit among Religions: Trinitarian ‘Rules’ for a Pneumatological Theology of Religions,” 122–23.","previouslyFormattedCitation":"Kärkkäinen, “How to Speak of the Spirit among Religions: Trinitarian ‘Rules’ for a Pneumatological Theology of Religions,” 122–23."},"properties":{"noteIndex":23},"schema":"https://github.com/citation-style-language/schema/raw/master/csl-citation.json"}</w:instrText>
      </w:r>
      <w:r w:rsidRPr="002D001B">
        <w:fldChar w:fldCharType="separate"/>
      </w:r>
      <w:r w:rsidRPr="002D001B">
        <w:rPr>
          <w:noProof/>
        </w:rPr>
        <w:t>Kärkkäinen, “How to Speak of the Spirit among Religions: Trinitarian ‘Rules’ for a Pneumatological Theology of Religions,” 122–23.</w:t>
      </w:r>
      <w:r w:rsidRPr="002D001B">
        <w:fldChar w:fldCharType="end"/>
      </w:r>
    </w:p>
  </w:footnote>
  <w:footnote w:id="24">
    <w:p w14:paraId="2C691DA0" w14:textId="77777777" w:rsidR="002D001B" w:rsidRPr="002D001B" w:rsidRDefault="002D001B" w:rsidP="002D001B">
      <w:pPr>
        <w:pStyle w:val="Kurios-CatatanKaki"/>
      </w:pPr>
      <w:r w:rsidRPr="002D001B">
        <w:rPr>
          <w:rStyle w:val="FootnoteReference"/>
          <w:lang w:val="id-ID"/>
        </w:rPr>
        <w:footnoteRef/>
      </w:r>
      <w:r w:rsidRPr="002D001B">
        <w:t xml:space="preserve"> Penelitian ini akan menggunakan istilah Trinitas untuk merujuk kepada pribadi Allah: Bapa, Putra, dan Roh Kudus, terutama untuk memudahkan pembedaan dengan istilah “trinitarian” yang merujuk kepada ajaran mengenai Trinitas.</w:t>
      </w:r>
    </w:p>
  </w:footnote>
  <w:footnote w:id="25">
    <w:p w14:paraId="57A248BB" w14:textId="41100F73" w:rsidR="002D001B" w:rsidRPr="002D001B" w:rsidRDefault="002D001B" w:rsidP="002D001B">
      <w:pPr>
        <w:pStyle w:val="Kurios-CatatanKaki"/>
      </w:pPr>
      <w:r w:rsidRPr="002D001B">
        <w:rPr>
          <w:rStyle w:val="FootnoteReference"/>
          <w:lang w:val="id-ID"/>
        </w:rPr>
        <w:footnoteRef/>
      </w:r>
      <w:r w:rsidRPr="002D001B">
        <w:t xml:space="preserve"> Gerald O’Collins, </w:t>
      </w:r>
      <w:r w:rsidRPr="002D001B">
        <w:rPr>
          <w:i/>
          <w:iCs/>
        </w:rPr>
        <w:t>The Tripersonal God: Understanding and Interpreting the Trinity</w:t>
      </w:r>
      <w:r w:rsidRPr="002D001B">
        <w:t>. Second Edition (New York: Paulist Press, 2014), 91.</w:t>
      </w:r>
      <w:r w:rsidRPr="002D001B">
        <w:rPr>
          <w:noProof/>
        </w:rPr>
        <w:t xml:space="preserve"> Bandingkan dengan Kärkkäinen, </w:t>
      </w:r>
      <w:r w:rsidRPr="002D001B">
        <w:rPr>
          <w:i/>
          <w:noProof/>
        </w:rPr>
        <w:t>Trinity and Religious Pluralism</w:t>
      </w:r>
      <w:r w:rsidRPr="002D001B">
        <w:rPr>
          <w:iCs/>
          <w:noProof/>
        </w:rPr>
        <w:t>, 43.</w:t>
      </w:r>
    </w:p>
  </w:footnote>
  <w:footnote w:id="26">
    <w:p w14:paraId="63F73754" w14:textId="5750A37B" w:rsidR="002D001B" w:rsidRPr="002D001B" w:rsidRDefault="002D001B" w:rsidP="002D001B">
      <w:pPr>
        <w:pStyle w:val="Kurios-CatatanKaki"/>
      </w:pPr>
      <w:r w:rsidRPr="002D001B">
        <w:rPr>
          <w:rStyle w:val="FootnoteReference"/>
          <w:lang w:val="id-ID"/>
        </w:rPr>
        <w:footnoteRef/>
      </w:r>
      <w:r w:rsidRPr="002D001B">
        <w:t xml:space="preserve"> Lihat diskusi dalam </w:t>
      </w:r>
      <w:r w:rsidRPr="002D001B">
        <w:fldChar w:fldCharType="begin" w:fldLock="1"/>
      </w:r>
      <w:r w:rsidRPr="002D001B">
        <w:instrText>ADDIN CSL_CITATION {"citationItems":[{"id":"ITEM-1","itemData":{"ISBN":"978-0-8028-7465-8","author":[{"dropping-particle":"","family":"Kärkkäinen","given":"Veli-Matti","non-dropping-particle":"","parse-names":false,"suffix":""}],"id":"ITEM-1","issued":{"date-parts":[["2019"]]},"publisher":"Eerdmans Publishing Co","publisher-place":"Grand Rapids, Michigan","title":"Christian Theology in the Pluralistic World: A Global Introduction","type":"book"},"locator":"67","uris":["http://www.mendeley.com/documents/?uuid=680f67e9-5b38-4d18-a2e9-fd623d7f7a1b"]}],"mendeley":{"formattedCitation":"Veli-Matti Kärkkäinen, &lt;i&gt;Christian Theology in the Pluralistic World: A Global Introduction&lt;/i&gt; (Grand Rapids, Michigan: Eerdmans Publishing Co, 2019), 67.","manualFormatting":"Veli-Matti Kärkkäinen, Christian Theology in the Pluralistic World: A Global Introduction (Grand Rapids, Michigan: Eerdmans Publishing Co, 2019), 67; dan","plainTextFormattedCitation":"Veli-Matti Kärkkäinen, Christian Theology in the Pluralistic World: A Global Introduction (Grand Rapids, Michigan: Eerdmans Publishing Co, 2019), 67.","previouslyFormattedCitation":"Veli-Matti Kärkkäinen, &lt;i&gt;Christian Theology in the Pluralistic World: A Global Introduction&lt;/i&gt; (Grand Rapids, Michigan: Eerdmans Publishing Co, 2019), 67."},"properties":{"noteIndex":26},"schema":"https://github.com/citation-style-language/schema/raw/master/csl-citation.json"}</w:instrText>
      </w:r>
      <w:r w:rsidRPr="002D001B">
        <w:fldChar w:fldCharType="separate"/>
      </w:r>
      <w:r w:rsidRPr="002D001B">
        <w:rPr>
          <w:noProof/>
        </w:rPr>
        <w:t xml:space="preserve">Veli-Matti Kärkkäinen, </w:t>
      </w:r>
      <w:r w:rsidRPr="002D001B">
        <w:rPr>
          <w:i/>
          <w:noProof/>
        </w:rPr>
        <w:t>Christian Theology in the Pluralistic World: A Global Introduction</w:t>
      </w:r>
      <w:r w:rsidRPr="002D001B">
        <w:rPr>
          <w:noProof/>
        </w:rPr>
        <w:t xml:space="preserve"> (Grand Rapids, Michigan: Eerdmans Publishing Co, 2019), 67; dan</w:t>
      </w:r>
      <w:r w:rsidRPr="002D001B">
        <w:fldChar w:fldCharType="end"/>
      </w:r>
      <w:r w:rsidRPr="002D001B">
        <w:t xml:space="preserve"> </w:t>
      </w:r>
      <w:r w:rsidRPr="002D001B">
        <w:fldChar w:fldCharType="begin" w:fldLock="1"/>
      </w:r>
      <w:r w:rsidRPr="002D001B">
        <w:instrText>ADDIN CSL_CITATION {"citationItems":[{"id":"ITEM-1","itemData":{"ISBN":"978-0-334-02368-5","author":[{"dropping-particle":"","family":"Moltmann","given":"Jürgen","non-dropping-particle":"","parse-names":false,"suffix":""}],"id":"ITEM-1","issued":{"date-parts":[["2005"]]},"language":"English","publisher":"SCM Press","publisher-place":"London","title":"The Trinity and the Kingdom of God: The Doctrine of God","type":"book"},"locator":"137","uris":["http://www.mendeley.com/documents/?uuid=29b8d5a8-bd4c-491e-938f-4793008f6fde"]}],"mendeley":{"formattedCitation":"Jürgen Moltmann, &lt;i&gt;The Trinity and the Kingdom of God: The Doctrine of God&lt;/i&gt; (London: SCM Press, 2005), 137.","plainTextFormattedCitation":"Jürgen Moltmann, The Trinity and the Kingdom of God: The Doctrine of God (London: SCM Press, 2005), 137.","previouslyFormattedCitation":"Jürgen Moltmann, &lt;i&gt;The Trinity and the Kingdom of God: The Doctrine of God&lt;/i&gt; (London: SCM Press, 2005), 137."},"properties":{"noteIndex":26},"schema":"https://github.com/citation-style-language/schema/raw/master/csl-citation.json"}</w:instrText>
      </w:r>
      <w:r w:rsidRPr="002D001B">
        <w:fldChar w:fldCharType="separate"/>
      </w:r>
      <w:r w:rsidRPr="002D001B">
        <w:rPr>
          <w:noProof/>
        </w:rPr>
        <w:t xml:space="preserve">Jürgen Moltmann, </w:t>
      </w:r>
      <w:r w:rsidRPr="002D001B">
        <w:rPr>
          <w:i/>
          <w:noProof/>
        </w:rPr>
        <w:t>The Trinity and the Kingdom of God: The Doctrine of God</w:t>
      </w:r>
      <w:r w:rsidRPr="002D001B">
        <w:rPr>
          <w:noProof/>
        </w:rPr>
        <w:t xml:space="preserve"> (London: SCM Press, 2005), 137.</w:t>
      </w:r>
      <w:r w:rsidRPr="002D001B">
        <w:fldChar w:fldCharType="end"/>
      </w:r>
    </w:p>
  </w:footnote>
  <w:footnote w:id="27">
    <w:p w14:paraId="1E126DAE" w14:textId="77777777" w:rsidR="002D001B" w:rsidRPr="002D001B" w:rsidRDefault="002D001B" w:rsidP="002D001B">
      <w:pPr>
        <w:pStyle w:val="Kurios-CatatanKaki"/>
        <w:rPr>
          <w:iCs/>
        </w:rPr>
      </w:pPr>
      <w:r w:rsidRPr="002D001B">
        <w:rPr>
          <w:rStyle w:val="FootnoteReference"/>
          <w:lang w:val="id-ID"/>
        </w:rPr>
        <w:footnoteRef/>
      </w:r>
      <w:r w:rsidRPr="002D001B">
        <w:t xml:space="preserve"> </w:t>
      </w:r>
      <w:r w:rsidRPr="002D001B">
        <w:rPr>
          <w:noProof/>
        </w:rPr>
        <w:t xml:space="preserve">Moltmann, </w:t>
      </w:r>
      <w:r w:rsidRPr="002D001B">
        <w:rPr>
          <w:i/>
          <w:noProof/>
        </w:rPr>
        <w:t xml:space="preserve">The Trinity and the Kingdom of God, </w:t>
      </w:r>
      <w:r w:rsidRPr="002D001B">
        <w:rPr>
          <w:iCs/>
          <w:noProof/>
        </w:rPr>
        <w:t>171.</w:t>
      </w:r>
    </w:p>
  </w:footnote>
  <w:footnote w:id="28">
    <w:p w14:paraId="44066FB9" w14:textId="77777777" w:rsidR="002D001B" w:rsidRPr="002D001B" w:rsidRDefault="002D001B" w:rsidP="002D001B">
      <w:pPr>
        <w:pStyle w:val="Kurios-CatatanKaki"/>
      </w:pPr>
      <w:r w:rsidRPr="002D001B">
        <w:rPr>
          <w:rStyle w:val="FootnoteReference"/>
          <w:lang w:val="id-ID"/>
        </w:rPr>
        <w:footnoteRef/>
      </w:r>
      <w:r w:rsidRPr="002D001B">
        <w:t xml:space="preserve"> Kata monarki (µοναρχία) berasal dari kata μόνας dan αρχη yang dipahami sebagai </w:t>
      </w:r>
      <w:r w:rsidRPr="002D001B">
        <w:rPr>
          <w:i/>
        </w:rPr>
        <w:t>divine monas</w:t>
      </w:r>
      <w:r w:rsidRPr="002D001B">
        <w:t xml:space="preserve">. Kata ini adalah istilah numerik Phytagoras yang dihubungkan bersama dengan αρχη untuk membentuk kata µοναρχία  yang berarti “kedaulatan tunggal” </w:t>
      </w:r>
      <w:r w:rsidRPr="002D001B">
        <w:fldChar w:fldCharType="begin"/>
      </w:r>
      <w:r w:rsidRPr="002D001B">
        <w:instrText xml:space="preserve"> ADDIN ZOTERO_ITEM CSL_CITATION {"citationID":"vDiVGUwr","properties":{"formattedCitation":"(Moltmann 2005, 130)","plainCitation":"(Moltmann 2005, 130)","noteIndex":0},"citationItems":[{"id":528,"uris":["http://zotero.org/users/5283593/items/WBNKGKIH"],"uri":["http://zotero.org/users/5283593/items/WBNKGKIH"],"itemData":{"id":528,"type":"book","event-place":"London","ISBN":"978-0-334-02368-5","language":"English","note":"OCLC: 1089420027","publisher":"SCM Press","publisher-place":"London","source":"Open WorldCat","title":"The Trinity and the kingdom of God: the doctrine of God","title-short":"The Trinity and the kingdom of God","author":[{"family":"Moltmann","given":"Jurgen"}],"issued":{"date-parts":[["2005"]]}},"locator":"130"}],"schema":"https://github.com/citation-style-language/schema/raw/master/csl-citation.json"} </w:instrText>
      </w:r>
      <w:r w:rsidRPr="002D001B">
        <w:fldChar w:fldCharType="separate"/>
      </w:r>
      <w:r w:rsidRPr="002D001B">
        <w:t>(Moltmann 2005, 130)</w:t>
      </w:r>
      <w:r w:rsidRPr="002D001B">
        <w:fldChar w:fldCharType="end"/>
      </w:r>
      <w:r w:rsidRPr="002D001B">
        <w:t xml:space="preserve">. Monarki muncul pada akhir abad ke dua. Monarki menolak ketuhanan Yesus dengan mengatakan bahwa Yesus adalah manusia biasa yang menerima Roh Allah. Dengan Roh tersebut Yesus menjadi Anak tunggal Allah yang memiliki kodrat melebihi manusia biasa. Keberadaan Yesus yang memiliki kodrat lebih tinggi dari manusia biasa bermanfaat untuk menjalankan perintah Allah </w:t>
      </w:r>
      <w:r w:rsidRPr="002D001B">
        <w:fldChar w:fldCharType="begin"/>
      </w:r>
      <w:r w:rsidRPr="002D001B">
        <w:instrText xml:space="preserve"> ADDIN ZOTERO_ITEM CSL_CITATION {"citationID":"AtK7PnGL","properties":{"formattedCitation":"(Kelly 1978, 116)","plainCitation":"(Kelly 1978, 116)","noteIndex":0},"citationItems":[{"id":630,"uris":["http://zotero.org/users/5283593/items/W7ZFWNQQ"],"uri":["http://zotero.org/users/5283593/items/W7ZFWNQQ"],"itemData":{"id":630,"type":"book","event-place":"San Francisco","ISBN":"978-0-06-064334-8","language":"English","note":"OCLC: 439498368","publisher":"HarperColinns Publishers","publisher-place":"San Francisco","source":"Open WorldCat","title":"Early christian doctrines","author":[{"family":"Kelly","given":"John Norman Davidson"}],"issued":{"date-parts":[["1978"]]}},"locator":"116"}],"schema":"https://github.com/citation-style-language/schema/raw/master/csl-citation.json"} </w:instrText>
      </w:r>
      <w:r w:rsidRPr="002D001B">
        <w:fldChar w:fldCharType="separate"/>
      </w:r>
      <w:r w:rsidRPr="002D001B">
        <w:t>(Kelly 1978, 116)</w:t>
      </w:r>
      <w:r w:rsidRPr="002D001B">
        <w:fldChar w:fldCharType="end"/>
      </w:r>
      <w:r w:rsidRPr="002D001B">
        <w:t>.</w:t>
      </w:r>
    </w:p>
  </w:footnote>
  <w:footnote w:id="29">
    <w:p w14:paraId="45F8D8EF" w14:textId="7025767D"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Trinity and Religious Pluralism</w:t>
      </w:r>
      <w:r w:rsidRPr="002D001B">
        <w:rPr>
          <w:iCs/>
          <w:noProof/>
        </w:rPr>
        <w:t xml:space="preserve">, 42. </w:t>
      </w:r>
      <w:r w:rsidRPr="002D001B">
        <w:t xml:space="preserve">Tertulianus mengatakan sekalipun dalam esensi Allah ada tiga pribadi, ketiga pribadi tersebut adalah manifestasi dari kekuatan tunggal yang tidak terpisahkan. Tiga pribadi tersebut adalah </w:t>
      </w:r>
      <w:r w:rsidRPr="002D001B">
        <w:rPr>
          <w:i/>
        </w:rPr>
        <w:t xml:space="preserve">disposio </w:t>
      </w:r>
      <w:r w:rsidRPr="002D001B">
        <w:t xml:space="preserve">(distribusi) bukan pemisahan. Bapa, Anak, dan Roh adalah satu dalam substansi. Mereka tidak dibagi tetapi diperluas. Logos berasal dari diri Allah melalui tindakan generasi kekal, dengan demikian Ia pun menjadi kekal. Hubungan Bapa dan Anak disebut dengan </w:t>
      </w:r>
      <w:r w:rsidRPr="002D001B">
        <w:rPr>
          <w:i/>
        </w:rPr>
        <w:t xml:space="preserve">prolatio, </w:t>
      </w:r>
      <w:r w:rsidRPr="002D001B">
        <w:t xml:space="preserve">artinya Anak dan Bapa adalah </w:t>
      </w:r>
      <w:r w:rsidRPr="002D001B">
        <w:rPr>
          <w:i/>
        </w:rPr>
        <w:t xml:space="preserve">distincti </w:t>
      </w:r>
      <w:r w:rsidRPr="002D001B">
        <w:t xml:space="preserve">(terbagi) tetapi bukan </w:t>
      </w:r>
      <w:r w:rsidRPr="002D001B">
        <w:rPr>
          <w:i/>
        </w:rPr>
        <w:t xml:space="preserve">divisi </w:t>
      </w:r>
      <w:r w:rsidRPr="002D001B">
        <w:t>(mengelompok)</w:t>
      </w:r>
      <w:r w:rsidRPr="002D001B">
        <w:rPr>
          <w:i/>
        </w:rPr>
        <w:t xml:space="preserve">, discreti </w:t>
      </w:r>
      <w:r w:rsidRPr="002D001B">
        <w:t xml:space="preserve">(berbeda) tetapi tidak </w:t>
      </w:r>
      <w:r w:rsidRPr="002D001B">
        <w:rPr>
          <w:i/>
        </w:rPr>
        <w:t xml:space="preserve">separati </w:t>
      </w:r>
      <w:r w:rsidRPr="002D001B">
        <w:t>(terpisah). Secara ringkas Tertulianus mengatakan, Trinitas adalah satu substansi dalam tiga pribadi (</w:t>
      </w:r>
      <w:r w:rsidRPr="002D001B">
        <w:rPr>
          <w:i/>
        </w:rPr>
        <w:t>una substantia, tres personae</w:t>
      </w:r>
      <w:r w:rsidRPr="002D001B">
        <w:t xml:space="preserve">). Lihat dalam </w:t>
      </w:r>
      <w:r w:rsidRPr="002D001B">
        <w:fldChar w:fldCharType="begin" w:fldLock="1"/>
      </w:r>
      <w:r w:rsidRPr="002D001B">
        <w:instrText>ADDIN CSL_CITATION {"citationItems":[{"id":"ITEM-1","itemData":{"author":[{"dropping-particle":"","family":"Tertullian","given":"","non-dropping-particle":"","parse-names":false,"suffix":""}],"id":"ITEM-1","issued":{"date-parts":[["2015"]]},"publisher":"Aeterne Press","publisher-place":"Tatian","title":"Against Praxeas","type":"book"},"uris":["http://www.mendeley.com/documents/?uuid=226d2847-80ef-40f5-baf0-3e21425edd8d"]}],"mendeley":{"formattedCitation":"Tertullian, &lt;i&gt;Against Praxeas&lt;/i&gt; (Tatian: Aeterne Press, 2015).","manualFormatting":"Tertullian, Against Praxeas (Tatian: Aeterne Press, 2015). ","plainTextFormattedCitation":"Tertullian, Against Praxeas (Tatian: Aeterne Press, 2015).","previouslyFormattedCitation":"Tertullian, &lt;i&gt;Against Praxeas&lt;/i&gt; (Tatian: Aeterne Press, 2015)."},"properties":{"noteIndex":29},"schema":"https://github.com/citation-style-language/schema/raw/master/csl-citation.json"}</w:instrText>
      </w:r>
      <w:r w:rsidRPr="002D001B">
        <w:fldChar w:fldCharType="separate"/>
      </w:r>
      <w:r w:rsidRPr="002D001B">
        <w:rPr>
          <w:noProof/>
        </w:rPr>
        <w:t xml:space="preserve">Tertullian, </w:t>
      </w:r>
      <w:r w:rsidRPr="002D001B">
        <w:rPr>
          <w:i/>
          <w:noProof/>
        </w:rPr>
        <w:t>Against Praxeas</w:t>
      </w:r>
      <w:r w:rsidRPr="002D001B">
        <w:rPr>
          <w:noProof/>
        </w:rPr>
        <w:t xml:space="preserve"> (Tatian: Aeterne Press, 2015). </w:t>
      </w:r>
      <w:r w:rsidRPr="002D001B">
        <w:fldChar w:fldCharType="end"/>
      </w:r>
      <w:r w:rsidRPr="002D001B">
        <w:t xml:space="preserve">Setelah pengajaran Tertulianus, pengajaran trinitarian masih berkembang dalam monoteisme. Pengakuan akan ketuhanan Anak dan Roh Kudus tidak serta merta menemukan pengajaran trinitarian yang sejati. Ketuhanan Yesus dan Roh Kudus pada akhirnya mengalami subordinasi demi mempertahankan monoteisme. Bapa, Anak, dan Roh dikatakan memiliki kesamaan namun tidak menunjukkan perbedaan di antara ketiga pribadi Trinitas demi menghindari kekhawatiran triteis. </w:t>
      </w:r>
    </w:p>
  </w:footnote>
  <w:footnote w:id="30">
    <w:p w14:paraId="04E9A56F" w14:textId="2E9B84BD"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-0-8028-6503-8 978-0-8028-7089-6 978-0-8028-6456-7","author":[{"dropping-particle":"","family":"Pannenberg","given":"Wolfhart","non-dropping-particle":"","parse-names":false,"suffix":""}],"edition":"Paperback","id":"ITEM-1","issued":{"date-parts":[["2009"]]},"language":"eng","note":"From Duplicate 1 (Systematic theology - Pannenberg Geoffrey W., Wolfhart A4 - Bromiley)\n\nHier auch später erschienene, unveränderte Nachdrucke\n\nFrom Duplicate 2 (Systematic theology - Pannenberg Geoffrey W., Wolfhart A4 - Bromiley; Pannenberg, Wolfhart; Bromiley, G W)\n\nFrom Duplicate 2 (Systematic theology - Pannenberg Geoffrey W., Wolfhart A4 - Bromiley)\n\nHier auch später erschienene, unveränderte Nachdrucke","number-of-pages":"473","publisher":"William B. Eerdmans Publishing Company","publisher-place":"Grand Rapids, Michigan","title":"Systematic Theology","type":"book","volume":"3"},"locator":"267","uris":["http://www.mendeley.com/documents/?uuid=2afd032d-ff67-4a3b-b372-08dee68601ad"]}],"mendeley":{"formattedCitation":"Wolfhart Pannenberg, &lt;i&gt;Systematic Theology&lt;/i&gt;, Paperback, vol. 3 (Grand Rapids, Michigan: William B. Eerdmans Publishing Company, 2009), 267.","plainTextFormattedCitation":"Wolfhart Pannenberg, Systematic Theology, Paperback, vol. 3 (Grand Rapids, Michigan: William B. Eerdmans Publishing Company, 2009), 267.","previouslyFormattedCitation":"Wolfhart Pannenberg, &lt;i&gt;Systematic Theology&lt;/i&gt;, Paperback, vol. 3 (Grand Rapids, Michigan: William B. Eerdmans Publishing Company, 2009), 267."},"properties":{"noteIndex":30},"schema":"https://github.com/citation-style-language/schema/raw/master/csl-citation.json"}</w:instrText>
      </w:r>
      <w:r w:rsidRPr="002D001B">
        <w:fldChar w:fldCharType="separate"/>
      </w:r>
      <w:r w:rsidRPr="002D001B">
        <w:rPr>
          <w:noProof/>
        </w:rPr>
        <w:t xml:space="preserve">Wolfhart Pannenberg, </w:t>
      </w:r>
      <w:r w:rsidRPr="002D001B">
        <w:rPr>
          <w:i/>
          <w:noProof/>
        </w:rPr>
        <w:t>Systematic Theology</w:t>
      </w:r>
      <w:r w:rsidRPr="002D001B">
        <w:rPr>
          <w:noProof/>
        </w:rPr>
        <w:t>, Paperback, vol. 3 (Grand Rapids, Michigan: William B. Eerdmans Publishing Company, 2009), 267.</w:t>
      </w:r>
      <w:r w:rsidRPr="002D001B">
        <w:fldChar w:fldCharType="end"/>
      </w:r>
    </w:p>
  </w:footnote>
  <w:footnote w:id="31">
    <w:p w14:paraId="127C4681" w14:textId="6FB1F463"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-0-334-02368-5","author":[{"dropping-particle":"","family":"Moltmann","given":"Jürgen","non-dropping-particle":"","parse-names":false,"suffix":""}],"id":"ITEM-1","issued":{"date-parts":[["2005"]]},"language":"English","publisher":"SCM Press","publisher-place":"London","title":"The Trinity and the Kingdom of God: The Doctrine of God","type":"book"},"locator":"148","uris":["http://www.mendeley.com/documents/?uuid=29b8d5a8-bd4c-491e-938f-4793008f6fde"]}],"mendeley":{"formattedCitation":"Moltmann, &lt;i&gt;The Trinity and the Kingdom of God: The Doctrine of God&lt;/i&gt;, 148.","manualFormatting":"Moltmann, The Trinity and the Kingdom of God, 148.","plainTextFormattedCitation":"Moltmann, The Trinity and the Kingdom of God: The Doctrine of God, 148.","previouslyFormattedCitation":"Moltmann, &lt;i&gt;The Trinity and the Kingdom of God: The Doctrine of God&lt;/i&gt;, 148."},"properties":{"noteIndex":31},"schema":"https://github.com/citation-style-language/schema/raw/master/csl-citation.json"}</w:instrText>
      </w:r>
      <w:r w:rsidRPr="002D001B">
        <w:fldChar w:fldCharType="separate"/>
      </w:r>
      <w:r w:rsidRPr="002D001B">
        <w:rPr>
          <w:noProof/>
        </w:rPr>
        <w:t xml:space="preserve">Moltmann, </w:t>
      </w:r>
      <w:r w:rsidRPr="002D001B">
        <w:rPr>
          <w:i/>
          <w:noProof/>
        </w:rPr>
        <w:t>The Trinity and the Kingdom of God</w:t>
      </w:r>
      <w:r w:rsidRPr="002D001B">
        <w:rPr>
          <w:noProof/>
        </w:rPr>
        <w:t>, 148.</w:t>
      </w:r>
      <w:r w:rsidRPr="002D001B">
        <w:fldChar w:fldCharType="end"/>
      </w:r>
    </w:p>
  </w:footnote>
  <w:footnote w:id="32">
    <w:p w14:paraId="3486D545" w14:textId="70AA2B9E"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{"citationItems":[{"id":"ITEM-1","itemData":{"ISBN":"978-0-88141-029-7","author":[{"dropping-particle":"","family":"Zizioulas","given":"Jean","non-dropping-particle":"","parse-names":false,"suffix":""}],"container-title":"Contemporary Greek Theologians","id":"ITEM-1","issued":{"date-parts":[["1985"]]},"note":"Includes index","number-of-pages":"269","publisher":"St. Vladimir's Seminary Press","publisher-place":"Crestwood, N.Y","title":"Being as Communion: Studies in Personhood and the Church","type":"book"},"locator":"17","uris":["http://www.mendeley.com/documents/?uuid=f5c12923-763c-4918-889f-24861cbcb4d5"]}],"mendeley":{"formattedCitation":"Jean Zizioulas, &lt;i&gt;Being as Communion: Studies in Personhood and the Church&lt;/i&gt;, &lt;i&gt;Contemporary Greek Theologians&lt;/i&gt; (Crestwood, N.Y: St. Vladimir’s Seminary Press, 1985), 17.","manualFormatting":"Jean Zizioulas, Being as Communion: Studies in Personhood and the Church, Contemporary Greek Theologians (Crestwood, N.Y: St. Vladimir’s Seminary Press, 1985), 17.","plainTextFormattedCitation":"Jean Zizioulas, Being as Communion: Studies in Personhood and the Church, Contemporary Greek Theologians (Crestwood, N.Y: St. Vladimir’s Seminary Press, 1985), 17.","previouslyFormattedCitation":"Jean Zizioulas, &lt;i&gt;Being as Communion: Studies in Personhood and the Church&lt;/i&gt;, &lt;i&gt;Contemporary Greek Theologians&lt;/i&gt; (Crestwood, N.Y: St. Vladimir’s Seminary Press, 1985), 17."},"properties":{"noteIndex":32},"schema":"https://github.com/citation-style-language/schema/raw/master/csl-citation.json"}</w:instrText>
      </w:r>
      <w:r w:rsidRPr="002D001B">
        <w:fldChar w:fldCharType="separate"/>
      </w:r>
      <w:r w:rsidRPr="002D001B">
        <w:rPr>
          <w:noProof/>
        </w:rPr>
        <w:t xml:space="preserve">Jean Zizioulas, </w:t>
      </w:r>
      <w:r w:rsidRPr="002D001B">
        <w:rPr>
          <w:i/>
          <w:noProof/>
        </w:rPr>
        <w:t>Being as Communion: Studies in Personhood and the Church</w:t>
      </w:r>
      <w:r w:rsidRPr="002D001B">
        <w:rPr>
          <w:noProof/>
        </w:rPr>
        <w:t xml:space="preserve">, </w:t>
      </w:r>
      <w:r w:rsidRPr="002D001B">
        <w:rPr>
          <w:iCs/>
          <w:noProof/>
        </w:rPr>
        <w:t>Contemporary Greek Theologians</w:t>
      </w:r>
      <w:r w:rsidRPr="002D001B">
        <w:rPr>
          <w:i/>
          <w:noProof/>
        </w:rPr>
        <w:t xml:space="preserve"> </w:t>
      </w:r>
      <w:r w:rsidRPr="002D001B">
        <w:rPr>
          <w:noProof/>
        </w:rPr>
        <w:t>(Crestwood, N.Y: St. Vladimir’s Seminary Press, 1985), 17.</w:t>
      </w:r>
      <w:r w:rsidRPr="002D001B">
        <w:fldChar w:fldCharType="end"/>
      </w:r>
      <w:r w:rsidRPr="002D001B">
        <w:t xml:space="preserve"> </w:t>
      </w:r>
      <w:r w:rsidRPr="002D001B">
        <w:rPr>
          <w:lang w:val="id-ID"/>
        </w:rPr>
        <w:t>Trinitarian adalah persekutuan Trinitas bukan hubungan yang bersifat hierarkis. Dengan demikian, komunitas Trinitarian berbicara tentang kebersamaan kepemilikan tanpa mengurangi sifat keilahian yang tidak terbatas.</w:t>
      </w:r>
    </w:p>
  </w:footnote>
  <w:footnote w:id="33">
    <w:p w14:paraId="4925012A" w14:textId="60AD2646"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{"citationItems":[{"id":"ITEM-1","itemData":{"ISBN":"978-0-8245-1925-4","author":[{"dropping-particle":"","family":"Johnson","given":"Elizabeth","non-dropping-particle":"","parse-names":false,"suffix":""}],"edition":"10th anniv","id":"ITEM-1","issued":{"date-parts":[["2002"]]},"note":"&amp;quot;A Herder &amp;amp; Herder book.&amp;quot; Originally published: New York : Crossroad, 1992","number-of-pages":"316","publisher":"Crossroad","publisher-place":"New York","title":"She Who is: The Mystery of God in Feminist Theological Discourse","type":"book"},"locator":"206","uris":["http://www.mendeley.com/documents/?uuid=e2acc07e-6afc-49fc-a604-b0e3ce1def2c"]}],"mendeley":{"formattedCitation":"Elizabeth Johnson, &lt;i&gt;She Who Is: The Mystery of God in Feminist Theological Discourse&lt;/i&gt;, 10th anniv (New York: Crossroad, 2002), 206.","plainTextFormattedCitation":"Elizabeth Johnson, She Who Is: The Mystery of God in Feminist Theological Discourse, 10th anniv (New York: Crossroad, 2002), 206.","previouslyFormattedCitation":"Elizabeth Johnson, &lt;i&gt;She Who Is: The Mystery of God in Feminist Theological Discourse&lt;/i&gt;, 10th anniv (New York: Crossroad, 2002), 206."},"properties":{"noteIndex":33},"schema":"https://github.com/citation-style-language/schema/raw/master/csl-citation.json"}</w:instrText>
      </w:r>
      <w:r w:rsidRPr="002D001B">
        <w:fldChar w:fldCharType="separate"/>
      </w:r>
      <w:r w:rsidRPr="002D001B">
        <w:rPr>
          <w:noProof/>
        </w:rPr>
        <w:t xml:space="preserve">Elizabeth Johnson, </w:t>
      </w:r>
      <w:r w:rsidRPr="002D001B">
        <w:rPr>
          <w:i/>
          <w:noProof/>
        </w:rPr>
        <w:t>She Who Is: The Mystery of God in Feminist Theological Discourse</w:t>
      </w:r>
      <w:r w:rsidRPr="002D001B">
        <w:rPr>
          <w:noProof/>
        </w:rPr>
        <w:t>, 10th anniv (New York: Crossroad, 2002), 206.</w:t>
      </w:r>
      <w:r w:rsidRPr="002D001B">
        <w:fldChar w:fldCharType="end"/>
      </w:r>
    </w:p>
  </w:footnote>
  <w:footnote w:id="34">
    <w:p w14:paraId="2BAA81A6" w14:textId="77777777"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 xml:space="preserve">Trinity and Religious Pluralism, </w:t>
      </w:r>
      <w:r w:rsidRPr="002D001B">
        <w:rPr>
          <w:iCs/>
          <w:noProof/>
        </w:rPr>
        <w:t>68.</w:t>
      </w:r>
    </w:p>
  </w:footnote>
  <w:footnote w:id="35">
    <w:p w14:paraId="473C8B88" w14:textId="1B889409"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Moltmann, </w:t>
      </w:r>
      <w:r w:rsidRPr="002D001B">
        <w:rPr>
          <w:i/>
          <w:noProof/>
        </w:rPr>
        <w:t>The Trinity and the Kingdom of God</w:t>
      </w:r>
      <w:r w:rsidRPr="002D001B">
        <w:rPr>
          <w:noProof/>
        </w:rPr>
        <w:t>, 172.</w:t>
      </w:r>
      <w:r w:rsidRPr="002D001B">
        <w:t xml:space="preserve"> </w:t>
      </w:r>
      <w:r w:rsidRPr="002D001B">
        <w:rPr>
          <w:lang w:val="id-ID"/>
        </w:rPr>
        <w:t>Hubungan pribadi Trinitas terjadi dalam komunitas dan menghindari sifat subordinasi dan modalistis. Dalam persekutuan tersebut keunikan masing-masing tetap terjaga walau tidak terpisahkan. Keberadaan tiga pribadi juga tidak menyalahi kesatuan ilahi, dan umat Kristen tidak menyembah tiga Allah. Tiga pribadi menyatu dalam relasi yang saling memberi dan menerima dalam cinta.</w:t>
      </w:r>
    </w:p>
  </w:footnote>
  <w:footnote w:id="36">
    <w:p w14:paraId="06B3BD8E" w14:textId="220408B8" w:rsidR="002D001B" w:rsidRPr="002D001B" w:rsidRDefault="002D001B" w:rsidP="002D001B">
      <w:pPr>
        <w:pStyle w:val="Kurios-CatatanKaki"/>
      </w:pPr>
      <w:r w:rsidRPr="002D001B">
        <w:rPr>
          <w:rStyle w:val="FootnoteReference"/>
          <w:lang w:val="id-ID"/>
        </w:rPr>
        <w:footnoteRef/>
      </w:r>
      <w:r w:rsidRPr="002D001B">
        <w:t xml:space="preserve"> Pembahasan mengenai perikoresis dilakukan secara apik oleh </w:t>
      </w:r>
      <w:r w:rsidRPr="002D001B">
        <w:fldChar w:fldCharType="begin" w:fldLock="1"/>
      </w:r>
      <w:r w:rsidRPr="002D001B">
        <w:instrText>ADDIN CSL_CITATION {"citationItems":[{"id":"ITEM-1","itemData":{"author":[{"dropping-particle":"","family":"Adiprasetya","given":"Joas","non-dropping-particle":"","parse-names":false,"suffix":""}],"id":"ITEM-1","issued":{"date-parts":[["2018"]]},"publisher":"BPK Gunung Mulia","publisher-place":"Jakarta","title":"An Imaginative Glimpse: Trinitas dan Agama-agama","type":"book"},"uris":["http://www.mendeley.com/documents/?uuid=a8370d09-c702-456c-aa59-5d2fd46309ff"]}],"mendeley":{"formattedCitation":"Joas Adiprasetya, &lt;i&gt;An Imaginative Glimpse: Trinitas Dan Agama-Agama&lt;/i&gt; (Jakarta: BPK Gunung Mulia, 2018).","plainTextFormattedCitation":"Joas Adiprasetya, An Imaginative Glimpse: Trinitas Dan Agama-Agama (Jakarta: BPK Gunung Mulia, 2018).","previouslyFormattedCitation":"Joas Adiprasetya, &lt;i&gt;An Imaginative Glimpse: Trinitas Dan Agama-Agama&lt;/i&gt; (Jakarta: BPK Gunung Mulia, 2018)."},"properties":{"noteIndex":36},"schema":"https://github.com/citation-style-language/schema/raw/master/csl-citation.json"}</w:instrText>
      </w:r>
      <w:r w:rsidRPr="002D001B">
        <w:fldChar w:fldCharType="separate"/>
      </w:r>
      <w:r w:rsidRPr="002D001B">
        <w:rPr>
          <w:noProof/>
        </w:rPr>
        <w:t xml:space="preserve">Joas Adiprasetya, </w:t>
      </w:r>
      <w:r w:rsidRPr="002D001B">
        <w:rPr>
          <w:i/>
          <w:noProof/>
        </w:rPr>
        <w:t xml:space="preserve">An Imaginative Glimpse: Trinitas </w:t>
      </w:r>
      <w:r w:rsidR="009D3F48">
        <w:rPr>
          <w:i/>
          <w:noProof/>
        </w:rPr>
        <w:t>d</w:t>
      </w:r>
      <w:r w:rsidRPr="002D001B">
        <w:rPr>
          <w:i/>
          <w:noProof/>
        </w:rPr>
        <w:t>an Agama-Agama</w:t>
      </w:r>
      <w:r w:rsidRPr="002D001B">
        <w:rPr>
          <w:noProof/>
        </w:rPr>
        <w:t xml:space="preserve"> (Jakarta: BPK Gunung Mulia, 2018).</w:t>
      </w:r>
      <w:r w:rsidRPr="002D001B">
        <w:fldChar w:fldCharType="end"/>
      </w:r>
    </w:p>
  </w:footnote>
  <w:footnote w:id="37">
    <w:p w14:paraId="155EF074" w14:textId="498BAB2F"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{"citationItems":[{"id":"ITEM-1","itemData":{"author":[{"dropping-particle":"","family":"Damascus","given":"John of","non-dropping-particle":"","parse-names":false,"suffix":""}],"collection-title":"Dua","container-title":"Nicene and Post-Nicene Fathers","id":"ITEM-1","issued":{"date-parts":[["2007"]]},"publisher":"Cosimo","publisher-place":"New York","title":"Exposition of the Orthodox Faith","type":"chapter","volume":"IX"},"locator":"524","uris":["http://www.mendeley.com/documents/?uuid=39ebee98-6452-4457-b991-c79d31e0efab"]}],"mendeley":{"formattedCitation":"John of Damascus, “Exposition of the Orthodox Faith,” in &lt;i&gt;Nicene and Post-Nicene Fathers&lt;/i&gt;, vol. IX, Dua (New York: Cosimo, 2007), 524.","plainTextFormattedCitation":"John of Damascus, “Exposition of the Orthodox Faith,” in Nicene and Post-Nicene Fathers, vol. IX, Dua (New York: Cosimo, 2007), 524.","previouslyFormattedCitation":"John of Damascus, “Exposition of the Orthodox Faith,” in &lt;i&gt;Nicene and Post-Nicene Fathers&lt;/i&gt;, vol. IX, Dua (New York: Cosimo, 2007), 524."},"properties":{"noteIndex":37},"schema":"https://github.com/citation-style-language/schema/raw/master/csl-citation.json"}</w:instrText>
      </w:r>
      <w:r w:rsidRPr="002D001B">
        <w:fldChar w:fldCharType="separate"/>
      </w:r>
      <w:r w:rsidRPr="002D001B">
        <w:rPr>
          <w:noProof/>
        </w:rPr>
        <w:t xml:space="preserve">John of Damascus, “Exposition of the Orthodox Faith,” in </w:t>
      </w:r>
      <w:r w:rsidRPr="002D001B">
        <w:rPr>
          <w:i/>
          <w:noProof/>
        </w:rPr>
        <w:t>Nicene and Post-Nicene Fathers</w:t>
      </w:r>
      <w:r w:rsidRPr="002D001B">
        <w:rPr>
          <w:noProof/>
        </w:rPr>
        <w:t>, vol. IX, Dua (New York: Cosimo, 2007), 524.</w:t>
      </w:r>
      <w:r w:rsidRPr="002D001B">
        <w:fldChar w:fldCharType="end"/>
      </w:r>
      <w:r w:rsidRPr="002D001B">
        <w:t xml:space="preserve"> </w:t>
      </w:r>
    </w:p>
  </w:footnote>
  <w:footnote w:id="38">
    <w:p w14:paraId="763B5F8A" w14:textId="77777777"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Adiprasetya, “The Good yet Missing Innkeeper,” 144.</w:t>
      </w:r>
    </w:p>
  </w:footnote>
  <w:footnote w:id="39">
    <w:p w14:paraId="5ECD2352" w14:textId="77777777"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Moltmann, </w:t>
      </w:r>
      <w:r w:rsidRPr="002D001B">
        <w:rPr>
          <w:i/>
          <w:noProof/>
        </w:rPr>
        <w:t>The Trinity and the Kingdom of God</w:t>
      </w:r>
      <w:r w:rsidRPr="002D001B">
        <w:rPr>
          <w:noProof/>
        </w:rPr>
        <w:t>, 175.</w:t>
      </w:r>
    </w:p>
  </w:footnote>
  <w:footnote w:id="40">
    <w:p w14:paraId="57346199" w14:textId="54006F05"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{"citationItems":[{"id":"ITEM-1","itemData":{"ISBN":"978-0-8028-4758-4","author":[{"dropping-particle":"","family":"Heim","given":"S. Mark","non-dropping-particle":"","parse-names":false,"suffix":""}],"id":"ITEM-1","issued":{"date-parts":[["2001"]]},"number-of-pages":"312","publisher":"W.B. Eerdmans","publisher-place":"Grand Rapids, Mich","title":"The Depth of the Riches: A Trinitarian Theology of Religious Ends","type":"book"},"locator":"131","uris":["http://www.mendeley.com/documents/?uuid=01ab5271-454c-4b2a-a290-584f5216b7ae"]}],"mendeley":{"formattedCitation":"S. Mark Heim, &lt;i&gt;The Depth of the Riches: A Trinitarian Theology of Religious Ends&lt;/i&gt; (Grand Rapids, Mich: W.B. Eerdmans, 2001), 131.","plainTextFormattedCitation":"S. Mark Heim, The Depth of the Riches: A Trinitarian Theology of Religious Ends (Grand Rapids, Mich: W.B. Eerdmans, 2001), 131.","previouslyFormattedCitation":"S. Mark Heim, &lt;i&gt;The Depth of the Riches: A Trinitarian Theology of Religious Ends&lt;/i&gt; (Grand Rapids, Mich: W.B. Eerdmans, 2001), 131."},"properties":{"noteIndex":40},"schema":"https://github.com/citation-style-language/schema/raw/master/csl-citation.json"}</w:instrText>
      </w:r>
      <w:r w:rsidRPr="002D001B">
        <w:fldChar w:fldCharType="separate"/>
      </w:r>
      <w:r w:rsidRPr="002D001B">
        <w:rPr>
          <w:noProof/>
        </w:rPr>
        <w:t xml:space="preserve">S. Mark Heim, </w:t>
      </w:r>
      <w:r w:rsidRPr="002D001B">
        <w:rPr>
          <w:i/>
          <w:noProof/>
        </w:rPr>
        <w:t>The Depth of the Riches: A Trinitarian Theology of Religious Ends</w:t>
      </w:r>
      <w:r w:rsidRPr="002D001B">
        <w:rPr>
          <w:noProof/>
        </w:rPr>
        <w:t xml:space="preserve"> (Grand Rapids, Mich: W.B. Eerdmans, 2001), 131.</w:t>
      </w:r>
      <w:r w:rsidRPr="002D001B">
        <w:fldChar w:fldCharType="end"/>
      </w:r>
    </w:p>
  </w:footnote>
  <w:footnote w:id="41">
    <w:p w14:paraId="50905AA2" w14:textId="72F0B312"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Heim, </w:t>
      </w:r>
      <w:r w:rsidRPr="002D001B">
        <w:rPr>
          <w:i/>
          <w:noProof/>
        </w:rPr>
        <w:t>The Depth of the Riches,</w:t>
      </w:r>
      <w:r w:rsidRPr="002D001B">
        <w:rPr>
          <w:iCs/>
          <w:noProof/>
        </w:rPr>
        <w:t xml:space="preserve"> 167.</w:t>
      </w:r>
    </w:p>
  </w:footnote>
  <w:footnote w:id="42">
    <w:p w14:paraId="40A78F53" w14:textId="126F5CC7"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{"citationItems":[{"id":"ITEM-1","itemData":{"ISBN":"978-0-8028-6853-4","author":[{"dropping-particle":"","family":"Kärkkäinen","given":"Veli-Matti","non-dropping-particle":"","parse-names":false,"suffix":""}],"container-title":"A Constructive Christian Theology for the Pluralistic World","id":"ITEM-1","issued":{"date-parts":[["2013"]]},"number-of-pages":"453","publisher":"William B. Eerdmans Pub. Co","publisher-place":"Grand Rapids, Michigan","title":"Christ and Reconciliation: A Constructive Christian Theology for the Pluralistic World","type":"book"},"locator":"343","uris":["http://www.mendeley.com/documents/?uuid=2905d9b6-f0cc-47c7-ab25-93981655d1d8"]}],"mendeley":{"formattedCitation":"Kärkkäinen, &lt;i&gt;Christ and Reconciliation: A Constructive Christian Theology for the Pluralistic World&lt;/i&gt;, 343.","manualFormatting":"Kärkkäinen, Christ and Reconciliation, 343.","plainTextFormattedCitation":"Kärkkäinen, Christ and Reconciliation: A Constructive Christian Theology for the Pluralistic World, 343.","previouslyFormattedCitation":"Kärkkäinen, &lt;i&gt;Christ and Reconciliation: A Constructive Christian Theology for the Pluralistic World&lt;/i&gt;, 343."},"properties":{"noteIndex":42},"schema":"https://github.com/citation-style-language/schema/raw/master/csl-citation.json"}</w:instrText>
      </w:r>
      <w:r w:rsidRPr="002D001B">
        <w:fldChar w:fldCharType="separate"/>
      </w:r>
      <w:r w:rsidRPr="002D001B">
        <w:rPr>
          <w:noProof/>
        </w:rPr>
        <w:t xml:space="preserve">Kärkkäinen, </w:t>
      </w:r>
      <w:r w:rsidRPr="002D001B">
        <w:rPr>
          <w:i/>
          <w:noProof/>
        </w:rPr>
        <w:t>Christ and Reconciliation</w:t>
      </w:r>
      <w:r w:rsidRPr="002D001B">
        <w:rPr>
          <w:noProof/>
        </w:rPr>
        <w:t>, 343.</w:t>
      </w:r>
      <w:r w:rsidRPr="002D001B">
        <w:fldChar w:fldCharType="end"/>
      </w:r>
      <w:r w:rsidRPr="002D001B">
        <w:t xml:space="preserve"> </w:t>
      </w:r>
    </w:p>
  </w:footnote>
  <w:footnote w:id="43">
    <w:p w14:paraId="5B2EEA2D" w14:textId="499C8579"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{"citationItems":[{"id":"ITEM-1","itemData":{"ISBN":"978-1-57075-303-9","author":[{"dropping-particle":"","family":"D'Costa","given":"Gavin","non-dropping-particle":"","parse-names":false,"suffix":""}],"container-title":"Faith Meets Faith Series","id":"ITEM-1","issued":{"date-parts":[["2000"]]},"number-of-pages":"187","publisher":"Orbis Books","publisher-place":"Maryknoll, N.Y","title":"The Meeting of Religions and the Trinity: Faith Meets Faith","type":"book"},"locator":"111","uris":["http://www.mendeley.com/documents/?uuid=ff63545f-51ae-4f82-b16d-f55af851fe46"]}],"mendeley":{"formattedCitation":"D’Costa, &lt;i&gt;The Meeting of Religions and the Trinity: Faith Meets Faith&lt;/i&gt;, 111.","manualFormatting":"D’Costa, The Meeting of Religions and the Trinity, 111.","plainTextFormattedCitation":"D’Costa, The Meeting of Religions and the Trinity: Faith Meets Faith, 111.","previouslyFormattedCitation":"D’Costa, &lt;i&gt;The Meeting of Religions and the Trinity: Faith Meets Faith&lt;/i&gt;, 111."},"properties":{"noteIndex":43},"schema":"https://github.com/citation-style-language/schema/raw/master/csl-citation.json"}</w:instrText>
      </w:r>
      <w:r w:rsidRPr="002D001B">
        <w:fldChar w:fldCharType="separate"/>
      </w:r>
      <w:r w:rsidRPr="002D001B">
        <w:rPr>
          <w:noProof/>
        </w:rPr>
        <w:t xml:space="preserve">D’Costa, </w:t>
      </w:r>
      <w:r w:rsidRPr="002D001B">
        <w:rPr>
          <w:i/>
          <w:noProof/>
        </w:rPr>
        <w:t xml:space="preserve">The Meeting of Religions and the Trinity, </w:t>
      </w:r>
      <w:r w:rsidRPr="002D001B">
        <w:rPr>
          <w:noProof/>
        </w:rPr>
        <w:t>111.</w:t>
      </w:r>
      <w:r w:rsidRPr="002D001B">
        <w:fldChar w:fldCharType="end"/>
      </w:r>
    </w:p>
  </w:footnote>
  <w:footnote w:id="44">
    <w:p w14:paraId="1362BDA0" w14:textId="77777777" w:rsidR="002D001B" w:rsidRPr="002D001B" w:rsidRDefault="002D001B" w:rsidP="002D001B">
      <w:pPr>
        <w:pStyle w:val="Kurios-CatatanKaki"/>
      </w:pPr>
      <w:r w:rsidRPr="002D001B">
        <w:rPr>
          <w:rStyle w:val="FootnoteReference"/>
          <w:lang w:val="id-ID"/>
        </w:rPr>
        <w:footnoteRef/>
      </w:r>
      <w:r w:rsidRPr="002D001B">
        <w:t xml:space="preserve"> Yesus sejarah yang dimaksudkan dalam tulisan ini merujuk pada Yesus yang mengambil rupa sebagai manusia hadir dalam sejarah dan waktu untuk menyatakan karya keselamatan. </w:t>
      </w:r>
    </w:p>
  </w:footnote>
  <w:footnote w:id="45">
    <w:p w14:paraId="4E116DAE" w14:textId="77777777"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 xml:space="preserve">Trinity and Religious Pluralism, </w:t>
      </w:r>
      <w:r w:rsidRPr="002D001B">
        <w:rPr>
          <w:iCs/>
          <w:noProof/>
        </w:rPr>
        <w:t>171.</w:t>
      </w:r>
      <w:r w:rsidRPr="002D001B">
        <w:t xml:space="preserve"> </w:t>
      </w:r>
    </w:p>
  </w:footnote>
  <w:footnote w:id="46">
    <w:p w14:paraId="499CDD0B" w14:textId="75CB46AA"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Trinity and Religious Pluralism</w:t>
      </w:r>
      <w:r w:rsidRPr="002D001B">
        <w:rPr>
          <w:iCs/>
          <w:noProof/>
        </w:rPr>
        <w:t xml:space="preserve">, 265. </w:t>
      </w:r>
    </w:p>
  </w:footnote>
  <w:footnote w:id="47">
    <w:p w14:paraId="5C58EF7F" w14:textId="0DA38644"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{"citationItems":[{"id":"ITEM-1","itemData":{"ISBN":"978-0-8028-3749-3","author":[{"dropping-particle":"","family":"Macchia","given":"Frank D","non-dropping-particle":"","parse-names":false,"suffix":""}],"container-title":"Pentecostal manifestos CN  - BT764.3 .M33 2010","id":"ITEM-1","issued":{"date-parts":[["2010"]]},"note":"Introduction : framing the issue of justification and the spirit -- Imparted righteousness : the catholic view of justification -- Imputed righteousness : the protestant view of justification -- Justification and spirit baptism : the exploration of a pentecostal metaphor -- The promise of the spirit : justifying righteousness in the old testament -- Apart from us : justification and the spirit-indwelt christ -- Embracing us : justification and spirit baptism -- Participation : by the spirit through faith -- The spirit and the other : the justified community -- The embrace of the spirit : toward a trinitarian theology of justification -- Justified in the spirit : a concluding reflection","number-of-pages":"345","publisher":"William B. Eerdmans Pub. Company","publisher-place":"Grand Rapids, Mich","title":"Justified in the Spirit: Creation, redemption, and the Triune God","type":"book"},"locator":"345","uris":["http://www.mendeley.com/documents/?uuid=0f203164-e1af-4654-a9a5-819fe8cff2f3"]}],"mendeley":{"formattedCitation":"Frank D Macchia, &lt;i&gt;Justified in the Spirit: Creation, Redemption, and the Triune God&lt;/i&gt;, &lt;i&gt;Pentecostal Manifestos CN  - BT764.3 .M33 2010&lt;/i&gt; (Grand Rapids, Mich: William B. Eerdmans Pub. Company, 2010), 345.","manualFormatting":"Frank D Macchia, Justified in the Spirit: Creation, Redemption, and the Triune God, Pentecostal Manifestos (Grand Rapids, Mich: William B. Eerdmans Pub. Company, 2010), 14.","plainTextFormattedCitation":"Frank D Macchia, Justified in the Spirit: Creation, Redemption, and the Triune God, Pentecostal Manifestos CN  - BT764.3 .M33 2010 (Grand Rapids, Mich: William B. Eerdmans Pub. Company, 2010), 345.","previouslyFormattedCitation":"Frank D Macchia, &lt;i&gt;Justified in the Spirit: Creation, Redemption, and the Triune God&lt;/i&gt;, &lt;i&gt;Pentecostal Manifestos CN  - BT764.3 .M33 2010&lt;/i&gt; (Grand Rapids, Mich: William B. Eerdmans Pub. Company, 2010), 345."},"properties":{"noteIndex":47},"schema":"https://github.com/citation-style-language/schema/raw/master/csl-citation.json"}</w:instrText>
      </w:r>
      <w:r w:rsidRPr="002D001B">
        <w:fldChar w:fldCharType="separate"/>
      </w:r>
      <w:r w:rsidRPr="002D001B">
        <w:rPr>
          <w:noProof/>
        </w:rPr>
        <w:t xml:space="preserve">Frank D Macchia, </w:t>
      </w:r>
      <w:r w:rsidRPr="002D001B">
        <w:rPr>
          <w:i/>
          <w:noProof/>
        </w:rPr>
        <w:t>Justified in the Spirit: Creation, Redemption, and the Triune God</w:t>
      </w:r>
      <w:r w:rsidRPr="002D001B">
        <w:rPr>
          <w:noProof/>
        </w:rPr>
        <w:t xml:space="preserve">, </w:t>
      </w:r>
      <w:r w:rsidRPr="002D001B">
        <w:rPr>
          <w:i/>
          <w:noProof/>
        </w:rPr>
        <w:t xml:space="preserve">Pentecostal Manifestos </w:t>
      </w:r>
      <w:r w:rsidRPr="002D001B">
        <w:rPr>
          <w:noProof/>
        </w:rPr>
        <w:t>(Grand Rapids, Mich: William B. Eerdmans Pub. Company, 2010), 14.</w:t>
      </w:r>
      <w:r w:rsidRPr="002D001B">
        <w:fldChar w:fldCharType="end"/>
      </w:r>
    </w:p>
  </w:footnote>
  <w:footnote w:id="48">
    <w:p w14:paraId="5B2238F2" w14:textId="24E68348"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{"citationItems":[{"id":"ITEM-1","itemData":{"ISBN":"978-0-8028-6856-5","author":[{"dropping-particle":"","family":"Kärkkäinen","given":"Veli-Matti","non-dropping-particle":"","parse-names":false,"suffix":""}],"container-title":"A constructive christian theology for the pluralistic world CN - BT121.3 .K374 2016","id":"ITEM-1","issued":{"date-parts":[["2016"]]},"number-of-pages":"498","publisher":"William B. Eerdmans Publishing Company","publisher-place":"Grand Rapids, Michigan","title":"Spirit and Salvation: A Constructive Christian Theology for the Pluralistic World","type":"book"},"uris":["http://www.mendeley.com/documents/?uuid=2e43fe06-df23-4089-a5fe-360b3adfdff7"]}],"mendeley":{"formattedCitation":"Kärkkäinen, &lt;i&gt;Spirit and Salvation: A Constructive Christian Theology for the Pluralistic World&lt;/i&gt;.","manualFormatting":"Kärkkäinen, Spirit and Salvation, 345.","plainTextFormattedCitation":"Kärkkäinen, Spirit and Salvation: A Constructive Christian Theology for the Pluralistic World.","previouslyFormattedCitation":"Kärkkäinen, &lt;i&gt;Spirit and Salvation: A Constructive Christian Theology for the Pluralistic World&lt;/i&gt;."},"properties":{"noteIndex":48},"schema":"https://github.com/citation-style-language/schema/raw/master/csl-citation.json"}</w:instrText>
      </w:r>
      <w:r w:rsidRPr="002D001B">
        <w:fldChar w:fldCharType="separate"/>
      </w:r>
      <w:r w:rsidRPr="002D001B">
        <w:rPr>
          <w:noProof/>
        </w:rPr>
        <w:t xml:space="preserve">Kärkkäinen, </w:t>
      </w:r>
      <w:r w:rsidRPr="002D001B">
        <w:rPr>
          <w:i/>
          <w:noProof/>
        </w:rPr>
        <w:t>Spirit and Salvation, 345.</w:t>
      </w:r>
      <w:r w:rsidRPr="002D001B">
        <w:fldChar w:fldCharType="end"/>
      </w:r>
    </w:p>
  </w:footnote>
  <w:footnote w:id="49">
    <w:p w14:paraId="25CF562D" w14:textId="4A13049F"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{"citationItems":[{"id":"ITEM-1","itemData":{"ISBN":"978-0-8028-6408-6","abstract":"Here is a fresh look at one of the Reformed tradition's most controversial and defining doctrines: election. In conversation with John Owen and Karl Barth, Suzanne McDonald argues that acknowledging the significance of \"representation\"-- representing God to others and others to God -- is key to understanding the nature and purpose of election. Re-imaging election investigates anew the scriptural contours of election and, especially, the prominent role of the Holy Spirit. Election, McDonald says, is not only \"in Christ\" but also \"by the Spirit.\" CN - BT809 .M39 2010","author":[{"dropping-particle":"","family":"McDonald","given":"Suzanne","non-dropping-particle":"","parse-names":false,"suffix":""}],"id":"ITEM-1","issued":{"date-parts":[["2010"]]},"note":"I. Posing a pneumatological problem. Election, the image, and the spirit : John Owen -- Election, the image, and the spirit : Karl Barth -- Election &amp;quot;in Christ&amp;quot; in Barth : some pneumatological queries -- II. Re-presenting the image; re-imaging election. Sketching some scriptural contours -- Election, the Spirit, and the ecclesial imago Dei -- III. Election to representation in dialogue. Some problems, a parable, and the parousia -- Owen and Barth : beyond the impasse -- Epilogue: Glancing backward, looking forward\n\nRevision of author's thesis (Ph. D.)--University of St Andrews, 2006 under title: Re-imaging election : the Holy Spirit and the dynamic of election to representation","number-of-pages":"213","publisher":"Wm. B. Eerdmans Pub","publisher-place":"Cambridge, U.K. ; Grand Rapids, Mich","title":"Re-Imaging Election: Divine Election as Representing God to Others and Others to God","type":"book"},"uris":["http://www.mendeley.com/documents/?uuid=0b9eae91-f591-4eb6-af04-3ca4d783dc70"]}],"mendeley":{"formattedCitation":"Suzanne McDonald, &lt;i&gt;Re-Imaging Election: Divine Election as Representing God to Others and Others to God&lt;/i&gt; (Cambridge, U.K. ; Grand Rapids, Mich: Wm. B. Eerdmans Pub, 2010).","manualFormatting":"Suzanne McDonald, Re-Imaging Election: Divine Election as Representing God to Others and Others to God (Cambridge, U.K. ; Grand Rapids, Mich: Wm. B. Eerdmans Pub, 2010), xviii.","plainTextFormattedCitation":"Suzanne McDonald, Re-Imaging Election: Divine Election as Representing God to Others and Others to God (Cambridge, U.K. ; Grand Rapids, Mich: Wm. B. Eerdmans Pub, 2010).","previouslyFormattedCitation":"Suzanne McDonald, &lt;i&gt;Re-Imaging Election: Divine Election as Representing God to Others and Others to God&lt;/i&gt; (Cambridge, U.K. ; Grand Rapids, Mich: Wm. B. Eerdmans Pub, 2010)."},"properties":{"noteIndex":49},"schema":"https://github.com/citation-style-language/schema/raw/master/csl-citation.json"}</w:instrText>
      </w:r>
      <w:r w:rsidRPr="002D001B">
        <w:fldChar w:fldCharType="separate"/>
      </w:r>
      <w:r w:rsidRPr="002D001B">
        <w:rPr>
          <w:noProof/>
        </w:rPr>
        <w:t xml:space="preserve">Suzanne McDonald, </w:t>
      </w:r>
      <w:r w:rsidRPr="002D001B">
        <w:rPr>
          <w:i/>
          <w:noProof/>
        </w:rPr>
        <w:t>Re-Imaging Election: Divine Election as Representing God to Others and Others to God</w:t>
      </w:r>
      <w:r w:rsidRPr="002D001B">
        <w:rPr>
          <w:noProof/>
        </w:rPr>
        <w:t xml:space="preserve"> (Cambridge, U.K. ; Grand Rapids, Mich: Wm. B. Eerdmans Pub, 2010), xviii.</w:t>
      </w:r>
      <w:r w:rsidRPr="002D001B">
        <w:fldChar w:fldCharType="end"/>
      </w:r>
      <w:r w:rsidRPr="002D001B">
        <w:t xml:space="preserve"> </w:t>
      </w:r>
      <w:r w:rsidRPr="002D001B">
        <w:fldChar w:fldCharType="begin" w:fldLock="1"/>
      </w:r>
      <w:r w:rsidRPr="002D001B">
        <w:instrText>ADDIN CSL_CITATION {"citationItems":[{"id":"ITEM-1","itemData":{"ISBN":"978-0-567-68217-8","author":[{"dropping-particle":"","family":"Torrance","given":"Thomas F.","non-dropping-particle":"","parse-names":false,"suffix":""}],"id":"ITEM-1","issued":{"date-parts":[["2019"]]},"language":"English","publisher":"T &amp; T Clark","publisher-place":"Edinburgh","title":"Space, Time and Resurrection","type":"book"},"locator":"98","uris":["http://www.mendeley.com/documents/?uuid=0d81b287-3337-4c74-8a65-85df3a46a7d5"]}],"mendeley":{"formattedCitation":"Thomas F. Torrance, &lt;i&gt;Space, Time and Resurrection&lt;/i&gt; (Edinburgh: T &amp; T Clark, 2019), 98.","plainTextFormattedCitation":"Thomas F. Torrance, Space, Time and Resurrection (Edinburgh: T &amp; T Clark, 2019), 98.","previouslyFormattedCitation":"Thomas F. Torrance, &lt;i&gt;Space, Time and Resurrection&lt;/i&gt; (Edinburgh: T &amp; T Clark, 2019), 98."},"properties":{"noteIndex":49},"schema":"https://github.com/citation-style-language/schema/raw/master/csl-citation.json"}</w:instrText>
      </w:r>
      <w:r w:rsidRPr="002D001B">
        <w:fldChar w:fldCharType="separate"/>
      </w:r>
      <w:r w:rsidRPr="002D001B">
        <w:rPr>
          <w:noProof/>
        </w:rPr>
        <w:t xml:space="preserve">Thomas F. Torrance, </w:t>
      </w:r>
      <w:r w:rsidRPr="002D001B">
        <w:rPr>
          <w:i/>
          <w:noProof/>
        </w:rPr>
        <w:t>Space, Time and Resurrection</w:t>
      </w:r>
      <w:r w:rsidRPr="002D001B">
        <w:rPr>
          <w:noProof/>
        </w:rPr>
        <w:t xml:space="preserve"> (Edinburgh: T &amp; T Clark, 2019), 98.</w:t>
      </w:r>
      <w:r w:rsidRPr="002D001B">
        <w:fldChar w:fldCharType="end"/>
      </w:r>
    </w:p>
  </w:footnote>
  <w:footnote w:id="50">
    <w:p w14:paraId="6EDA62C0" w14:textId="7CF74AA4"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Christ and Reconciliation</w:t>
      </w:r>
      <w:r w:rsidRPr="002D001B">
        <w:rPr>
          <w:noProof/>
        </w:rPr>
        <w:t>, 337.</w:t>
      </w:r>
      <w:r w:rsidRPr="002D001B">
        <w:t xml:space="preserve"> </w:t>
      </w:r>
    </w:p>
  </w:footnote>
  <w:footnote w:id="51">
    <w:p w14:paraId="3BE9AE9F" w14:textId="59144332"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{"citationItems":[{"id":"ITEM-1","itemData":{"ISBN":"978-0-8028-6857-2","author":[{"dropping-particle":"","family":"Kärkkäinen","given":"Veli-Matti","non-dropping-particle":"","parse-names":false,"suffix":""}],"container-title":"A Constructive Christian theology for the Pluralistic World","id":"ITEM-1","issued":{"date-parts":[["2017"]]},"number-of-pages":"574","publisher":"William B. Eerdmans Publishing Company","publisher-place":"Grand Rapids, Michigan","title":"Hope and Community: A Constructive Christian Theology for the Pluralistic World","type":"book"},"locator":"297","uris":["http://www.mendeley.com/documents/?uuid=a84f5499-b0dc-4c46-a093-bee5603f516a"]}],"mendeley":{"formattedCitation":"Veli-Matti Kärkkäinen, &lt;i&gt;Hope and Community: A Constructive Christian Theology for the Pluralistic World&lt;/i&gt;, &lt;i&gt;A Constructive Christian Theology for the Pluralistic World&lt;/i&gt; (Grand Rapids, Michigan: William B. Eerdmans Publishing Company, 2017), 297.","plainTextFormattedCitation":"Veli-Matti Kärkkäinen, Hope and Community: A Constructive Christian Theology for the Pluralistic World, A Constructive Christian Theology for the Pluralistic World (Grand Rapids, Michigan: William B. Eerdmans Publishing Company, 2017), 297.","previouslyFormattedCitation":"Veli-Matti Kärkkäinen, &lt;i&gt;Hope and Community: A Constructive Christian Theology for the Pluralistic World&lt;/i&gt;, &lt;i&gt;A Constructive Christian Theology for the Pluralistic World&lt;/i&gt; (Grand Rapids, Michigan: William B. Eerdmans Publishing Company, 2017), 297."},"properties":{"noteIndex":51},"schema":"https://github.com/citation-style-language/schema/raw/master/csl-citation.json"}</w:instrText>
      </w:r>
      <w:r w:rsidRPr="002D001B">
        <w:fldChar w:fldCharType="separate"/>
      </w:r>
      <w:r w:rsidRPr="002D001B">
        <w:rPr>
          <w:noProof/>
        </w:rPr>
        <w:t xml:space="preserve">Veli-Matti Kärkkäinen, </w:t>
      </w:r>
      <w:r w:rsidRPr="002D001B">
        <w:rPr>
          <w:i/>
          <w:noProof/>
        </w:rPr>
        <w:t>Hope and Community: A Constructive Christian Theology for the Pluralistic World</w:t>
      </w:r>
      <w:r w:rsidRPr="002D001B">
        <w:rPr>
          <w:noProof/>
        </w:rPr>
        <w:t xml:space="preserve">, </w:t>
      </w:r>
      <w:r w:rsidRPr="002D001B">
        <w:rPr>
          <w:i/>
          <w:noProof/>
        </w:rPr>
        <w:t>A Constructive Christian Theology for the Pluralistic World</w:t>
      </w:r>
      <w:r w:rsidRPr="002D001B">
        <w:rPr>
          <w:noProof/>
        </w:rPr>
        <w:t xml:space="preserve"> (Grand Rapids, Michigan: William B. Eerdmans Publishing Company, 2017), 297.</w:t>
      </w:r>
      <w:r w:rsidRPr="002D001B">
        <w:fldChar w:fldCharType="end"/>
      </w:r>
    </w:p>
  </w:footnote>
  <w:footnote w:id="52">
    <w:p w14:paraId="49E15C69" w14:textId="5400CCFC"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 xml:space="preserve">Spirit and Salvation, </w:t>
      </w:r>
      <w:r w:rsidRPr="002D001B">
        <w:rPr>
          <w:iCs/>
          <w:noProof/>
        </w:rPr>
        <w:t>415.</w:t>
      </w:r>
      <w:r w:rsidRPr="002D001B">
        <w:t xml:space="preserve"> </w:t>
      </w:r>
    </w:p>
  </w:footnote>
  <w:footnote w:id="53">
    <w:p w14:paraId="35ED2EF6" w14:textId="606EEFE7"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Trinity and Religious Pluralism</w:t>
      </w:r>
      <w:r w:rsidRPr="002D001B">
        <w:rPr>
          <w:iCs/>
          <w:noProof/>
        </w:rPr>
        <w:t xml:space="preserve">, 113. </w:t>
      </w:r>
    </w:p>
  </w:footnote>
  <w:footnote w:id="54">
    <w:p w14:paraId="2BEDB200" w14:textId="0C1E8A0E"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“How to Speak of the Spirit among Religions,” 123. </w:t>
      </w:r>
    </w:p>
  </w:footnote>
  <w:footnote w:id="55">
    <w:p w14:paraId="3C794484" w14:textId="2D521C4E"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{"citationItems":[{"id":"ITEM-1","itemData":{"ISBN":"978-0-8028-6854-1","author":[{"dropping-particle":"","family":"Kärkkäinen","given":"Veli-Matti","non-dropping-particle":"","parse-names":false,"suffix":""}],"container-title":"A constructive Christian theology for the pluralistic world CN - BT111.3 K36 2014","id":"ITEM-1","issued":{"date-parts":[["2014"]]},"number-of-pages":"2","publisher":"William B. Eerdmans Publishing Company","publisher-place":"Grand Rapids, Michigan","title":"Trinity and Revelation: A Constructive Christian Theology for the Pluralistic World","type":"book"},"locator":"413","uris":["http://www.mendeley.com/documents/?uuid=7e196015-1911-4e18-9365-f0cf56a622fc"]}],"mendeley":{"formattedCitation":"Veli-Matti Kärkkäinen, &lt;i&gt;Trinity and Revelation: A Constructive Christian Theology for the Pluralistic World&lt;/i&gt;, &lt;i&gt;A Constructive Christian Theology for the Pluralistic World CN - BT111.3 K36 2014&lt;/i&gt; (Grand Rapids, Michigan: William B. Eerdmans Publishing Company, 2014), 413.","manualFormatting":"Veli-Matti Kärkkäinen, Trinity and Revelation: A Constructive Christian Theology for the Pluralistic World, A Constructive Christian Theology for the Pluralistic World (Grand Rapids, Michigan: William B. Eerdmans Publishing Company, 2014), 413.","plainTextFormattedCitation":"Veli-Matti Kärkkäinen, Trinity and Revelation: A Constructive Christian Theology for the Pluralistic World, A Constructive Christian Theology for the Pluralistic World CN - BT111.3 K36 2014 (Grand Rapids, Michigan: William B. Eerdmans Publishing Company, 2014), 413.","previouslyFormattedCitation":"Veli-Matti Kärkkäinen, &lt;i&gt;Trinity and Revelation: A Constructive Christian Theology for the Pluralistic World&lt;/i&gt;, &lt;i&gt;A Constructive Christian Theology for the Pluralistic World CN - BT111.3 K36 2014&lt;/i&gt; (Grand Rapids, Michigan: William B. Eerdmans Publishing Company, 2014), 413."},"properties":{"noteIndex":55},"schema":"https://github.com/citation-style-language/schema/raw/master/csl-citation.json"}</w:instrText>
      </w:r>
      <w:r w:rsidRPr="002D001B">
        <w:fldChar w:fldCharType="separate"/>
      </w:r>
      <w:r w:rsidRPr="002D001B">
        <w:rPr>
          <w:noProof/>
        </w:rPr>
        <w:t xml:space="preserve">Veli-Matti Kärkkäinen, </w:t>
      </w:r>
      <w:r w:rsidRPr="002D001B">
        <w:rPr>
          <w:i/>
          <w:noProof/>
        </w:rPr>
        <w:t>Trinity and Revelation: A Constructive Christian Theology for the Pluralistic World</w:t>
      </w:r>
      <w:r w:rsidRPr="002D001B">
        <w:rPr>
          <w:noProof/>
        </w:rPr>
        <w:t xml:space="preserve">, </w:t>
      </w:r>
      <w:r w:rsidRPr="002D001B">
        <w:rPr>
          <w:i/>
          <w:noProof/>
        </w:rPr>
        <w:t xml:space="preserve">A Constructive Christian Theology for the Pluralistic World </w:t>
      </w:r>
      <w:r w:rsidRPr="002D001B">
        <w:rPr>
          <w:noProof/>
        </w:rPr>
        <w:t>(Grand Rapids, Michigan: William B. Eerdmans Publishing Company, 2014), 413.</w:t>
      </w:r>
      <w:r w:rsidRPr="002D001B">
        <w:fldChar w:fldCharType="end"/>
      </w:r>
    </w:p>
  </w:footnote>
  <w:footnote w:id="56">
    <w:p w14:paraId="4DA751D3" w14:textId="3E991043"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{"citationItems":[{"id":"ITEM-1","itemData":{"ISBN":"978-1-62564-260-8","abstract":"Welker sees Spirit as conflicted territory in a world alive with experiences of the Spirit, searchings for Spirit, and skepticism about the Spirit. In a work that fuses the best of Continental theology with American process thought, he looks first to the problem of religious experience in today's world and inchoate experiences of the power of the Spirit.","author":[{"dropping-particle":"","family":"Welker","given":"Michael","non-dropping-particle":"","parse-names":false,"suffix":""}],"id":"ITEM-1","issued":{"date-parts":[["2013"]]},"language":"Translated from the German","number-of-pages":"376","publisher":"Wipf and Stock","publisher-place":"Eugene, Or.","title":"God the Spirit","type":"book"},"uris":["http://www.mendeley.com/documents/?uuid=4ee0e798-f10a-46c8-8c9c-f388f4f97bc6"]}],"mendeley":{"formattedCitation":"Michael Welker, &lt;i&gt;God the Spirit&lt;/i&gt; (Eugene, Or.: Wipf and Stock, 2013).","manualFormatting":"Michael Welker, God the Spirit (Eugene, Or.: Wipf and Stock, 2013), 313-314.","plainTextFormattedCitation":"Michael Welker, God the Spirit (Eugene, Or.: Wipf and Stock, 2013).","previouslyFormattedCitation":"Michael Welker, &lt;i&gt;God the Spirit&lt;/i&gt; (Eugene, Or.: Wipf and Stock, 2013)."},"properties":{"noteIndex":56},"schema":"https://github.com/citation-style-language/schema/raw/master/csl-citation.json"}</w:instrText>
      </w:r>
      <w:r w:rsidRPr="002D001B">
        <w:fldChar w:fldCharType="separate"/>
      </w:r>
      <w:r w:rsidRPr="002D001B">
        <w:rPr>
          <w:noProof/>
        </w:rPr>
        <w:t xml:space="preserve">Michael Welker, </w:t>
      </w:r>
      <w:r w:rsidRPr="002D001B">
        <w:rPr>
          <w:i/>
          <w:noProof/>
        </w:rPr>
        <w:t>God the Spirit</w:t>
      </w:r>
      <w:r w:rsidRPr="002D001B">
        <w:rPr>
          <w:noProof/>
        </w:rPr>
        <w:t xml:space="preserve"> (Eugene, Or.: Wipf and Stock, 2013), 313-314.</w:t>
      </w:r>
      <w:r w:rsidRPr="002D001B">
        <w:fldChar w:fldCharType="end"/>
      </w:r>
    </w:p>
  </w:footnote>
  <w:footnote w:id="57">
    <w:p w14:paraId="6E0241BD" w14:textId="0CEC461A"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“How to Speak of the Spirit among Religions,” 124. </w:t>
      </w:r>
    </w:p>
  </w:footnote>
  <w:footnote w:id="58">
    <w:p w14:paraId="191F553A" w14:textId="62464F67"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 xml:space="preserve">Trinity and Revelation, </w:t>
      </w:r>
      <w:r w:rsidRPr="002D001B">
        <w:rPr>
          <w:iCs/>
          <w:noProof/>
        </w:rPr>
        <w:t xml:space="preserve">414; </w:t>
      </w:r>
      <w:r w:rsidRPr="002D001B">
        <w:rPr>
          <w:iCs/>
          <w:noProof/>
        </w:rPr>
        <w:fldChar w:fldCharType="begin" w:fldLock="1"/>
      </w:r>
      <w:r w:rsidRPr="002D001B">
        <w:rPr>
          <w:iCs/>
          <w:noProof/>
        </w:rPr>
        <w:instrText>ADDIN CSL_CITATION {"citationItems":[{"id":"ITEM-1","itemData":{"ISBN":"978-0-567-02570-8","author":[{"dropping-particle":"","family":"Min","given":"Anselm Kyongsuk","non-dropping-particle":"","parse-names":false,"suffix":""}],"id":"ITEM-1","issued":{"date-parts":[["2004"]]},"note":"Part one: After postmodernism : a critique of difference -- Levinas and the liberation of the other : toward a dialectic of totality, infinity, and solidarity -- The other without history and society : a dialogue with Derrida -- The reign of difference : postmodernism in philosophy, culture, and politics -- From difference to solidarity of others : sublating postmodernism -- Part two: Solidarity of others : toward a postmodern theology -- Renewing the doctrine of the Holy Spirit in an oppressive world : prolegomena to a pneumatology of liberating solidarity -- Solidarity of others in the movement of the Holy Spirit : pneumatology in a divided world -- Solidarity of others in the body of Christ : christology in a divided world -- Praxis and pluralism : a liberationist theology of religions -- Solidarity of others in a religiously plural world : toward a dialectical conception of pluralism -- Difference and solidarity : pneumatologies of Moltmann, Welker, and Hodgson -- From the poetics of excess to the prose of justice : reflections on Webb's theology of the gift","number-of-pages":"245","publisher":"T&amp;T Clark International","publisher-place":"New York; London","title":"The Solidarity of Others in a Divided World: A Postmodern Theology after Postmodernism","type":"book"},"uris":["http://www.mendeley.com/documents/?uuid=0b80ce2c-520d-447f-8751-823a80a0bc0a"]}],"mendeley":{"formattedCitation":"Anselm Kyongsuk Min, &lt;i&gt;The Solidarity of Others in a Divided World: A Postmodern Theology after Postmodernism&lt;/i&gt; (New York; London: T&amp;T Clark International, 2004).","manualFormatting":"Anselm Kyongsuk Min, The Solidarity of Others in a Divided World: A Postmodern Theology after Postmodernism (New York; London: T&amp;T Clark International, 2004), 118.","plainTextFormattedCitation":"Anselm Kyongsuk Min, The Solidarity of Others in a Divided World: A Postmodern Theology after Postmodernism (New York; London: T&amp;T Clark International, 2004).","previouslyFormattedCitation":"Anselm Kyongsuk Min, &lt;i&gt;The Solidarity of Others in a Divided World: A Postmodern Theology after Postmodernism&lt;/i&gt; (New York; London: T&amp;T Clark International, 2004)."},"properties":{"noteIndex":58},"schema":"https://github.com/citation-style-language/schema/raw/master/csl-citation.json"}</w:instrText>
      </w:r>
      <w:r w:rsidRPr="002D001B">
        <w:rPr>
          <w:iCs/>
          <w:noProof/>
        </w:rPr>
        <w:fldChar w:fldCharType="separate"/>
      </w:r>
      <w:r w:rsidRPr="002D001B">
        <w:rPr>
          <w:iCs/>
          <w:noProof/>
        </w:rPr>
        <w:t xml:space="preserve">Anselm Kyongsuk Min, </w:t>
      </w:r>
      <w:r w:rsidRPr="002D001B">
        <w:rPr>
          <w:i/>
          <w:iCs/>
          <w:noProof/>
        </w:rPr>
        <w:t>The Solidarity of Others in a Divided World: A Postmodern Theology after Postmodernism</w:t>
      </w:r>
      <w:r w:rsidRPr="002D001B">
        <w:rPr>
          <w:iCs/>
          <w:noProof/>
        </w:rPr>
        <w:t xml:space="preserve"> (New York; London: T&amp;T Clark International, 2004), 118.</w:t>
      </w:r>
      <w:r w:rsidRPr="002D001B">
        <w:rPr>
          <w:iCs/>
          <w:noProof/>
        </w:rPr>
        <w:fldChar w:fldCharType="end"/>
      </w:r>
      <w:r w:rsidRPr="002D001B">
        <w:t xml:space="preserve"> </w:t>
      </w:r>
    </w:p>
  </w:footnote>
  <w:footnote w:id="59">
    <w:p w14:paraId="181B2449" w14:textId="228CB7FC"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 xml:space="preserve">Spirit and Salvation, </w:t>
      </w:r>
      <w:r w:rsidRPr="002D001B">
        <w:rPr>
          <w:iCs/>
          <w:noProof/>
        </w:rPr>
        <w:t xml:space="preserve">179. </w:t>
      </w:r>
    </w:p>
  </w:footnote>
  <w:footnote w:id="60">
    <w:p w14:paraId="639E1BDC" w14:textId="4FF1AFE2"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{"citationItems":[{"id":"ITEM-1","itemData":{"ISBN":"978-1-137-26899-0 978-1-306-28506-3 978-1-349-44371-0","abstract":"This volume presents interdisciplinary, intercultural, and interreligious approaches exploring a pneumatological theology in its broadest sense, especially in attempting to conceive of a spirit-filled world. The authors seek to discern the spiritual dimensions in the wider domains of the history, culture, the polis, the cosmos, sciences, and religions. The essays are driven by an intuition: that pneumatological sensibilities, categories, and insights can both inform the construction of a more robust doctrine of the person and work of the Holy Spirit in the world and enable the appreciation that we inhabit what can rightly be called a Spirit- and spirit-filled world.","author":[{"dropping-particle":"","family":"Kärkkäinen","given":"Veli-Matti","non-dropping-particle":"","parse-names":false,"suffix":""},{"dropping-particle":"","family":"Kim","given":"Kirsteen","non-dropping-particle":"","parse-names":false,"suffix":""},{"dropping-particle":"","family":"Yong","given":"Amos","non-dropping-particle":"","parse-names":false,"suffix":""}],"id":"ITEM-1","issued":{"date-parts":[["2013","4","13"]]},"language":"English","publisher":"Palgrave Macmillan","publisher-place":"New York, NY","title":"Interdisciplinary and Religio-Cultural Discourses on a Spirit-Filled World: Loosing the Spirits","type":"book"},"locator":"34","uris":["http://www.mendeley.com/documents/?uuid=f3ce2fcb-282a-4d63-9140-dc3a303b2be1"]}],"mendeley":{"formattedCitation":"Veli-Matti Kärkkäinen, Kirsteen Kim, and Amos Yong, &lt;i&gt;Interdisciplinary and Religio-Cultural Discourses on a Spirit-Filled World: Loosing the Spirits&lt;/i&gt; (New York, NY: Palgrave Macmillan, 2013), 34, http://site.ebrary.com/id/10858216.","plainTextFormattedCitation":"Veli-Matti Kärkkäinen, Kirsteen Kim, and Amos Yong, Interdisciplinary and Religio-Cultural Discourses on a Spirit-Filled World: Loosing the Spirits (New York, NY: Palgrave Macmillan, 2013), 34, http://site.ebrary.com/id/10858216.","previouslyFormattedCitation":"Veli-Matti Kärkkäinen, Kirsteen Kim, and Amos Yong, &lt;i&gt;Interdisciplinary and Religio-Cultural Discourses on a Spirit-Filled World: Loosing the Spirits&lt;/i&gt; (New York, NY: Palgrave Macmillan, 2013), 34, http://site.ebrary.com/id/10858216."},"properties":{"noteIndex":60},"schema":"https://github.com/citation-style-language/schema/raw/master/csl-citation.json"}</w:instrText>
      </w:r>
      <w:r w:rsidRPr="002D001B">
        <w:fldChar w:fldCharType="separate"/>
      </w:r>
      <w:r w:rsidRPr="002D001B">
        <w:rPr>
          <w:noProof/>
        </w:rPr>
        <w:t xml:space="preserve">Veli-Matti Kärkkäinen, Kirsteen Kim, and Amos Yong, </w:t>
      </w:r>
      <w:r w:rsidRPr="002D001B">
        <w:rPr>
          <w:i/>
          <w:noProof/>
        </w:rPr>
        <w:t>Interdisciplinary and Religio-Cultural Discourses on a Spirit-Filled World: Loosing the Spirits</w:t>
      </w:r>
      <w:r w:rsidRPr="002D001B">
        <w:rPr>
          <w:noProof/>
        </w:rPr>
        <w:t xml:space="preserve"> (New York, NY: Palgrave Macmillan, 2013), 34, http://site.ebrary.com/id/10858216.</w:t>
      </w:r>
      <w:r w:rsidRPr="002D001B">
        <w:fldChar w:fldCharType="end"/>
      </w:r>
    </w:p>
  </w:footnote>
  <w:footnote w:id="61">
    <w:p w14:paraId="3FAB2757" w14:textId="4B1F03F3"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 xml:space="preserve">Trinity and Religious Pluralism, </w:t>
      </w:r>
      <w:r w:rsidRPr="002D001B">
        <w:rPr>
          <w:iCs/>
          <w:noProof/>
        </w:rPr>
        <w:t>175.</w:t>
      </w:r>
    </w:p>
  </w:footnote>
  <w:footnote w:id="62">
    <w:p w14:paraId="48A33380" w14:textId="5935A622"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“How to Speak of the Spirit among Religions,” 124. </w:t>
      </w:r>
    </w:p>
  </w:footnote>
  <w:footnote w:id="63">
    <w:p w14:paraId="49F41E3F" w14:textId="046ED273"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 xml:space="preserve">Trinity and Religious Pluralism, </w:t>
      </w:r>
      <w:r w:rsidRPr="002D001B">
        <w:rPr>
          <w:iCs/>
          <w:noProof/>
        </w:rPr>
        <w:t>175.</w:t>
      </w:r>
    </w:p>
  </w:footnote>
  <w:footnote w:id="64">
    <w:p w14:paraId="61021292" w14:textId="0911458C"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“How to Speak of the Spirit among Religions,” 124. </w:t>
      </w:r>
    </w:p>
  </w:footnote>
  <w:footnote w:id="65">
    <w:p w14:paraId="4C7137EE" w14:textId="5ECD65B9"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 xml:space="preserve">Trinity and Religious Pluralism, </w:t>
      </w:r>
      <w:r w:rsidRPr="002D001B">
        <w:rPr>
          <w:iCs/>
          <w:noProof/>
        </w:rPr>
        <w:t>182.</w:t>
      </w:r>
    </w:p>
  </w:footnote>
  <w:footnote w:id="66">
    <w:p w14:paraId="7E604B04" w14:textId="0AF9209C"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“How to Speak of the Spirit among Religions,” 125. </w:t>
      </w:r>
    </w:p>
  </w:footnote>
  <w:footnote w:id="67">
    <w:p w14:paraId="0595C7A0" w14:textId="6F9E7555"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Trinity and Religious Pluralism</w:t>
      </w:r>
      <w:r w:rsidRPr="002D001B">
        <w:rPr>
          <w:iCs/>
          <w:noProof/>
        </w:rPr>
        <w:t xml:space="preserve">, 309. </w:t>
      </w:r>
    </w:p>
  </w:footnote>
  <w:footnote w:id="68">
    <w:p w14:paraId="10F177A1" w14:textId="2EF8878B"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 xml:space="preserve">Trinity and Religious Pluralism, </w:t>
      </w:r>
      <w:r w:rsidRPr="002D001B">
        <w:rPr>
          <w:iCs/>
          <w:noProof/>
        </w:rPr>
        <w:t>75.</w:t>
      </w:r>
      <w:r w:rsidRPr="002D001B">
        <w:t xml:space="preserve"> </w:t>
      </w:r>
      <w:r w:rsidRPr="002D001B">
        <w:fldChar w:fldCharType="begin"/>
      </w:r>
      <w:r w:rsidRPr="002D001B">
        <w:instrText xml:space="preserve"> ADDIN ZOTERO_ITEM CSL_CITATION {"citationID":"YSqHCfuv","properties":{"formattedCitation":"(Velli-Matti K\\uc0\\u228{}rkk\\uc0\\u228{}inen 2017, 75)","plainCitation":"(Velli-Matti Kärkkäinen 2017, 75)","noteIndex":0},"citationItems":[{"id":383,"uris":["http://zotero.org/users/5283593/items/EYRWENP3"],"uri":["http://zotero.org/users/5283593/items/EYRWENP3"],"itemData":{"id":383,"type":"book","event-place":"Place of publication not identified","ISBN":"978-1-138-41050-3","language":"English","note":"OCLC: 1007930418","publisher":"ROUTLEDGE","publisher-place":"Place of publication not identified","source":"Open WorldCat","title":"Trinity and Religious Pluralism : The Doctrin of the Trinity in Christian Theology of Religions","author":[{"family":"Kärkkäinen","given":"Velli-Matti"}],"issued":{"date-parts":[["2017"]]}},"locator":"75"}],"schema":"https://github.com/citation-style-language/schema/raw/master/csl-citation.json"} </w:instrText>
      </w:r>
      <w:r w:rsidRPr="002D001B">
        <w:fldChar w:fldCharType="separate"/>
      </w:r>
      <w:r w:rsidRPr="002D001B">
        <w:t>(Kärkkäinen 2017, 75</w:t>
      </w:r>
      <w:r w:rsidRPr="002D001B">
        <w:fldChar w:fldCharType="end"/>
      </w:r>
      <w:r w:rsidRPr="002D001B">
        <w:t xml:space="preserve">;  </w:t>
      </w:r>
      <w:r w:rsidRPr="002D001B">
        <w:fldChar w:fldCharType="begin"/>
      </w:r>
      <w:r w:rsidRPr="002D001B">
        <w:instrText xml:space="preserve"> ADDIN ZOTERO_ITEM CSL_CITATION {"citationID":"uW8LyU7n","properties":{"formattedCitation":"(Veli-Matti K\\uc0\\u228{}rkk\\uc0\\u228{}inen 2006, 124)","plainCitation":"(Veli-Matti Kärkkäinen 2006, 124)","noteIndex":0},"citationItems":[{"id":405,"uris":["http://zotero.org/users/5283593/items/T7FG7KWH"],"uri":["http://zotero.org/users/5283593/items/T7FG7KWH"],"itemData":{"id":405,"type":"article-newspaper","edition":"3","title":"How To Speak Of The Spirit Among Religions Trinitarian Rules For A Pneumatological Theology Of Religions","author":[{"family":"Kärkkäinen","given":"Veli-Matti"}],"issued":{"date-parts":[["2006"]]}},"locator":"124"}],"schema":"https://github.com/citation-style-language/schema/raw/master/csl-citation.json"} </w:instrText>
      </w:r>
      <w:r w:rsidRPr="002D001B">
        <w:fldChar w:fldCharType="separate"/>
      </w:r>
      <w:r w:rsidRPr="002D001B">
        <w:t>Kärkkäinen 2006, 124)</w:t>
      </w:r>
      <w:r w:rsidRPr="002D001B">
        <w:fldChar w:fldCharType="end"/>
      </w:r>
      <w:r w:rsidRPr="002D001B">
        <w:t>.</w:t>
      </w:r>
    </w:p>
  </w:footnote>
  <w:footnote w:id="69">
    <w:p w14:paraId="4740C1E5" w14:textId="09C79CC2"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Kärkkäinen, “How to Speak of the Spirit among Religions,” 123-124.</w:t>
      </w:r>
      <w:r w:rsidRPr="002D001B">
        <w:t xml:space="preserve"> </w:t>
      </w:r>
    </w:p>
  </w:footnote>
  <w:footnote w:id="70">
    <w:p w14:paraId="473761BE" w14:textId="0C2508A1"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D’Costa, </w:t>
      </w:r>
      <w:r w:rsidRPr="002D001B">
        <w:rPr>
          <w:i/>
          <w:noProof/>
        </w:rPr>
        <w:t xml:space="preserve">The Meeting of Religions and the Trinity, </w:t>
      </w:r>
      <w:r w:rsidRPr="002D001B">
        <w:rPr>
          <w:iCs/>
          <w:noProof/>
        </w:rPr>
        <w:t>117.</w:t>
      </w:r>
      <w:r w:rsidRPr="002D001B">
        <w:t xml:space="preserve"> </w:t>
      </w:r>
    </w:p>
  </w:footnote>
  <w:footnote w:id="71">
    <w:p w14:paraId="6EB40E3A" w14:textId="4FE004EE"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D’Costa, </w:t>
      </w:r>
      <w:r w:rsidRPr="002D001B">
        <w:rPr>
          <w:i/>
          <w:noProof/>
        </w:rPr>
        <w:t xml:space="preserve">The Meeting of Religions and the Trinity, </w:t>
      </w:r>
      <w:r w:rsidRPr="002D001B">
        <w:rPr>
          <w:iCs/>
          <w:noProof/>
        </w:rPr>
        <w:t xml:space="preserve">9. </w:t>
      </w:r>
    </w:p>
  </w:footnote>
  <w:footnote w:id="72">
    <w:p w14:paraId="395D755A" w14:textId="1C8D563D"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Hope and Community</w:t>
      </w:r>
      <w:r w:rsidRPr="002D001B">
        <w:rPr>
          <w:iCs/>
          <w:noProof/>
        </w:rPr>
        <w:t>, 307</w:t>
      </w:r>
      <w:r w:rsidRPr="002D001B">
        <w:t>.</w:t>
      </w:r>
    </w:p>
  </w:footnote>
  <w:footnote w:id="73">
    <w:p w14:paraId="5FE065CA" w14:textId="6CF19FF4" w:rsidR="002D001B" w:rsidRPr="002D001B" w:rsidRDefault="002D001B" w:rsidP="002D001B">
      <w:pPr>
        <w:pStyle w:val="Kurios-CatatanKaki"/>
        <w:rPr>
          <w:iCs/>
        </w:rPr>
      </w:pPr>
      <w:r w:rsidRPr="002D001B">
        <w:rPr>
          <w:rStyle w:val="FootnoteReference"/>
          <w:lang w:val="id-ID"/>
        </w:rPr>
        <w:footnoteRef/>
      </w:r>
      <w:r w:rsidRPr="002D001B">
        <w:t xml:space="preserve"> </w:t>
      </w:r>
      <w:r w:rsidRPr="002D001B">
        <w:rPr>
          <w:noProof/>
        </w:rPr>
        <w:t xml:space="preserve">Kärkkäinen, </w:t>
      </w:r>
      <w:r w:rsidRPr="002D001B">
        <w:rPr>
          <w:i/>
          <w:noProof/>
        </w:rPr>
        <w:t>Trinity and Religious Pluralism</w:t>
      </w:r>
      <w:r w:rsidRPr="002D001B">
        <w:rPr>
          <w:iCs/>
          <w:noProof/>
        </w:rPr>
        <w:t xml:space="preserve">, 370; </w:t>
      </w:r>
      <w:r w:rsidRPr="002D001B">
        <w:rPr>
          <w:noProof/>
        </w:rPr>
        <w:t xml:space="preserve">Kärkkäinen, </w:t>
      </w:r>
      <w:r w:rsidRPr="002D001B">
        <w:rPr>
          <w:i/>
          <w:noProof/>
        </w:rPr>
        <w:t>Hope and Community</w:t>
      </w:r>
      <w:r w:rsidRPr="002D001B">
        <w:rPr>
          <w:iCs/>
          <w:noProof/>
        </w:rPr>
        <w:t>, 307.</w:t>
      </w:r>
    </w:p>
  </w:footnote>
  <w:footnote w:id="74">
    <w:p w14:paraId="26C2E6B7" w14:textId="2E371EDA"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 xml:space="preserve">Trinity and Revelation, </w:t>
      </w:r>
      <w:r w:rsidRPr="002D001B">
        <w:rPr>
          <w:iCs/>
          <w:noProof/>
        </w:rPr>
        <w:t>416</w:t>
      </w:r>
      <w:r w:rsidRPr="002D001B">
        <w:t>.</w:t>
      </w:r>
    </w:p>
  </w:footnote>
  <w:footnote w:id="75">
    <w:p w14:paraId="39AAF94D" w14:textId="480CEF19"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 xml:space="preserve">Trinity and Revelation, </w:t>
      </w:r>
      <w:r w:rsidRPr="002D001B">
        <w:rPr>
          <w:iCs/>
          <w:noProof/>
        </w:rPr>
        <w:t>417.</w:t>
      </w:r>
    </w:p>
  </w:footnote>
  <w:footnote w:id="76">
    <w:p w14:paraId="0D02FDFB" w14:textId="77777777"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Moltmann, </w:t>
      </w:r>
      <w:r w:rsidRPr="002D001B">
        <w:rPr>
          <w:i/>
          <w:noProof/>
        </w:rPr>
        <w:t>The Trinity and the Kingdom of God</w:t>
      </w:r>
      <w:r w:rsidRPr="002D001B">
        <w:rPr>
          <w:noProof/>
        </w:rPr>
        <w:t xml:space="preserve">, 175. </w:t>
      </w:r>
    </w:p>
  </w:footnote>
  <w:footnote w:id="77">
    <w:p w14:paraId="46D63457" w14:textId="020C2363"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-0-19-505966-3","author":[{"dropping-particle":"","family":"Grenz","given":"Stanley","non-dropping-particle":"","parse-names":false,"suffix":""}],"edition":"2","id":"ITEM-1","issued":{"date-parts":[["2005"]]},"note":"Includes index","number-of-pages":"279","publisher":"Oxford University Press","publisher-place":"New York","title":"Reason for hope: The systematic theology of Wolfhart Pannenberg","type":"book"},"locator":"60","uris":["http://www.mendeley.com/documents/?uuid=0ffea6da-718c-4a66-b1fb-193c9bc7fec0"]}],"mendeley":{"formattedCitation":"Stanley Grenz, &lt;i&gt;Reason for Hope: The Systematic Theology of Wolfhart Pannenberg&lt;/i&gt;, 2nd ed. (New York: Oxford University Press, 2005), 60.","plainTextFormattedCitation":"Stanley Grenz, Reason for Hope: The Systematic Theology of Wolfhart Pannenberg, 2nd ed. (New York: Oxford University Press, 2005), 60.","previouslyFormattedCitation":"Stanley Grenz, &lt;i&gt;Reason for Hope: The Systematic Theology of Wolfhart Pannenberg&lt;/i&gt;, 2nd ed. (New York: Oxford University Press, 2005), 60."},"properties":{"noteIndex":77},"schema":"https://github.com/citation-style-language/schema/raw/master/csl-citation.json"}</w:instrText>
      </w:r>
      <w:r w:rsidRPr="002D001B">
        <w:fldChar w:fldCharType="separate"/>
      </w:r>
      <w:r w:rsidRPr="002D001B">
        <w:rPr>
          <w:noProof/>
        </w:rPr>
        <w:t xml:space="preserve">Stanley Grenz, </w:t>
      </w:r>
      <w:r w:rsidRPr="002D001B">
        <w:rPr>
          <w:i/>
          <w:noProof/>
        </w:rPr>
        <w:t>Reason for Hope: The Systematic Theology of Wolfhart Pannenberg</w:t>
      </w:r>
      <w:r w:rsidRPr="002D001B">
        <w:rPr>
          <w:noProof/>
        </w:rPr>
        <w:t>, 2nd ed. (New York: Oxford University Press, 2005), 60.</w:t>
      </w:r>
      <w:r w:rsidRPr="002D001B">
        <w:fldChar w:fldCharType="end"/>
      </w:r>
    </w:p>
  </w:footnote>
  <w:footnote w:id="78">
    <w:p w14:paraId="22A2C340" w14:textId="77777777" w:rsidR="002D001B" w:rsidRPr="002D001B" w:rsidRDefault="002D001B" w:rsidP="002D001B">
      <w:pPr>
        <w:pStyle w:val="Kurios-CatatanKaki"/>
        <w:rPr>
          <w:lang w:val="en-ID"/>
        </w:rPr>
      </w:pPr>
      <w:r w:rsidRPr="002D001B">
        <w:rPr>
          <w:rStyle w:val="FootnoteReference"/>
        </w:rPr>
        <w:footnoteRef/>
      </w:r>
      <w:r w:rsidRPr="002D001B">
        <w:t xml:space="preserve"> </w:t>
      </w:r>
      <w:r w:rsidRPr="002D001B">
        <w:rPr>
          <w:noProof/>
        </w:rPr>
        <w:t xml:space="preserve">Kärkkäinen, </w:t>
      </w:r>
      <w:r w:rsidRPr="002D001B">
        <w:rPr>
          <w:i/>
          <w:noProof/>
        </w:rPr>
        <w:t xml:space="preserve">Trinity and Religious Pluralism, </w:t>
      </w:r>
      <w:r w:rsidRPr="002D001B">
        <w:rPr>
          <w:iCs/>
          <w:noProof/>
        </w:rPr>
        <w:t>182.</w:t>
      </w:r>
    </w:p>
  </w:footnote>
  <w:footnote w:id="79">
    <w:p w14:paraId="59293954" w14:textId="77777777" w:rsidR="002D001B" w:rsidRPr="002D001B" w:rsidRDefault="002D001B" w:rsidP="002D001B">
      <w:pPr>
        <w:pStyle w:val="Kurios-CatatanKaki"/>
        <w:rPr>
          <w:lang w:val="en-ID"/>
        </w:rPr>
      </w:pPr>
      <w:r w:rsidRPr="002D001B">
        <w:rPr>
          <w:rStyle w:val="FootnoteReference"/>
        </w:rPr>
        <w:footnoteRef/>
      </w:r>
      <w:r w:rsidRPr="002D001B">
        <w:t xml:space="preserve"> </w:t>
      </w:r>
      <w:r w:rsidRPr="002D001B">
        <w:fldChar w:fldCharType="begin"/>
      </w:r>
      <w:r w:rsidRPr="002D001B">
        <w:instrText xml:space="preserve"> ADDIN ZOTERO_ITEM CSL_CITATION {"citationID":"cb9Avxx6","properties":{"formattedCitation":"(K\\uc0\\u228{}rkk\\uc0\\u228{}inen, n.d., 121\\uc0\\u8211{}27)","plainCitation":"(Kärkkäinen, n.d., 121–27)","dontUpdate":true,"noteIndex":0},"citationItems":[{"id":405,"uris":["http://zotero.org/users/5283593/items/T7FG7KWH"],"uri":["http://zotero.org/users/5283593/items/T7FG7KWH"],"itemData":{"id":405,"type":"article-newspaper","edition":"3","title":"How To Speak Of The Spirit Among Religions Trinitarian Rules For A Pneumatological Theology Of Religions","author":[{"family":"Kärkkäinen","given":"Veli-Matti"}],"issued":{"date-parts":[["2006"]]}},"locator":"121-127"}],"schema":"https://github.com/citation-style-language/schema/raw/master/csl-citation.json"} </w:instrText>
      </w:r>
      <w:r w:rsidRPr="002D001B">
        <w:fldChar w:fldCharType="separate"/>
      </w:r>
      <w:r w:rsidRPr="002D001B">
        <w:rPr>
          <w:noProof/>
        </w:rPr>
        <w:t xml:space="preserve"> Kärkkäinen, “How to Speak of the Spirit among Religions</w:t>
      </w:r>
      <w:r w:rsidRPr="002D001B">
        <w:t>, 121–126</w:t>
      </w:r>
      <w:r w:rsidRPr="002D001B">
        <w:fldChar w:fldCharType="end"/>
      </w:r>
      <w:r w:rsidRPr="002D001B">
        <w:t>.</w:t>
      </w:r>
    </w:p>
  </w:footnote>
  <w:footnote w:id="80">
    <w:p w14:paraId="0861A754" w14:textId="3426B96D" w:rsidR="002D001B" w:rsidRPr="002D001B" w:rsidRDefault="002D001B" w:rsidP="002D001B">
      <w:pPr>
        <w:pStyle w:val="Kurios-CatatanKaki"/>
      </w:pPr>
      <w:r w:rsidRPr="002D001B">
        <w:rPr>
          <w:rStyle w:val="FootnoteReference"/>
          <w:lang w:val="id-ID"/>
        </w:rPr>
        <w:footnoteRef/>
      </w:r>
      <w:r w:rsidRPr="002D001B">
        <w:t xml:space="preserve"> </w:t>
      </w:r>
      <w:r w:rsidRPr="002D001B">
        <w:fldChar w:fldCharType="begin" w:fldLock="1"/>
      </w:r>
      <w:r w:rsidRPr="002D001B">
        <w:instrText>ADDIN CSL_CITATION {"citationItems":[{"id":"ITEM-1","itemData":{"ISBN":"978-1-107-02360-4 978-1-107-63877-8","author":[{"dropping-particle":"","family":"Trigg","given":"Roger","non-dropping-particle":"","parse-names":false,"suffix":""}],"container-title":"Cambridge studies in religion, philosophy, and society CN  - BL640 .T75 2014","id":"ITEM-1","issued":{"date-parts":[["2014"]]},"number-of-pages":"199","publisher":"Cambridge University Press","publisher-place":"New York, NY","title":"Religious diversity: Philosophical and political dimensions","type":"book"},"uris":["http://www.mendeley.com/documents/?uuid=bfc36d88-2141-4e02-9a78-3044555d04ff"]}],"mendeley":{"formattedCitation":"Roger Trigg, &lt;i&gt;Religious Diversity: Philosophical and Political Dimensions&lt;/i&gt;, &lt;i&gt;Cambridge Studies in Religion, Philosophy, and Society CN  - BL640 .T75 2014&lt;/i&gt; (New York, NY: Cambridge University Press, 2014).","manualFormatting":"Roger Trigg, Religious Diversity: Philosophical and Political Dimensions, Cambridge Studies in Religion, Philosophy, and Society (New York, NY: Cambridge University Press, 2014), 114. ","plainTextFormattedCitation":"Roger Trigg, Religious Diversity: Philosophical and Political Dimensions, Cambridge Studies in Religion, Philosophy, and Society CN  - BL640 .T75 2014 (New York, NY: Cambridge University Press, 2014).","previouslyFormattedCitation":"Roger Trigg, &lt;i&gt;Religious Diversity: Philosophical and Political Dimensions&lt;/i&gt;, &lt;i&gt;Cambridge Studies in Religion, Philosophy, and Society CN  - BL640 .T75 2014&lt;/i&gt; (New York, NY: Cambridge University Press, 2014)."},"properties":{"noteIndex":80},"schema":"https://github.com/citation-style-language/schema/raw/master/csl-citation.json"}</w:instrText>
      </w:r>
      <w:r w:rsidRPr="002D001B">
        <w:fldChar w:fldCharType="separate"/>
      </w:r>
      <w:r w:rsidRPr="002D001B">
        <w:rPr>
          <w:noProof/>
        </w:rPr>
        <w:t xml:space="preserve">Roger Trigg, </w:t>
      </w:r>
      <w:r w:rsidRPr="002D001B">
        <w:rPr>
          <w:i/>
          <w:noProof/>
        </w:rPr>
        <w:t>Religious Diversity: Philosophical and Political Dimensions</w:t>
      </w:r>
      <w:r w:rsidRPr="002D001B">
        <w:rPr>
          <w:noProof/>
        </w:rPr>
        <w:t xml:space="preserve">, </w:t>
      </w:r>
      <w:r w:rsidRPr="002D001B">
        <w:rPr>
          <w:i/>
          <w:noProof/>
        </w:rPr>
        <w:t xml:space="preserve">Cambridge Studies in Religion, Philosophy, and Society </w:t>
      </w:r>
      <w:r w:rsidRPr="002D001B">
        <w:rPr>
          <w:noProof/>
        </w:rPr>
        <w:t xml:space="preserve">(New York, NY: Cambridge University Press, 2014), 114. </w:t>
      </w:r>
      <w:r w:rsidRPr="002D001B">
        <w:fldChar w:fldCharType="end"/>
      </w:r>
    </w:p>
  </w:footnote>
  <w:footnote w:id="81">
    <w:p w14:paraId="255D05B4" w14:textId="77777777"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Trinity and Religious Pluralism</w:t>
      </w:r>
      <w:r w:rsidRPr="002D001B">
        <w:rPr>
          <w:iCs/>
          <w:noProof/>
        </w:rPr>
        <w:t xml:space="preserve">, 403. </w:t>
      </w:r>
    </w:p>
  </w:footnote>
  <w:footnote w:id="82">
    <w:p w14:paraId="529BE27B" w14:textId="6632C5C8"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 xml:space="preserve">Spirit and Salvation, </w:t>
      </w:r>
      <w:r w:rsidRPr="002D001B">
        <w:rPr>
          <w:iCs/>
          <w:noProof/>
        </w:rPr>
        <w:t xml:space="preserve">44. </w:t>
      </w:r>
    </w:p>
  </w:footnote>
  <w:footnote w:id="83">
    <w:p w14:paraId="414C6AB1" w14:textId="585C10AA"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Trinity and Religious Pluralism</w:t>
      </w:r>
      <w:r w:rsidRPr="002D001B">
        <w:rPr>
          <w:iCs/>
          <w:noProof/>
        </w:rPr>
        <w:t xml:space="preserve">, 403. </w:t>
      </w:r>
    </w:p>
  </w:footnote>
  <w:footnote w:id="84">
    <w:p w14:paraId="2BA5D242" w14:textId="419C6FBF"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 xml:space="preserve">Spirit and Salvation, </w:t>
      </w:r>
      <w:r w:rsidRPr="002D001B">
        <w:rPr>
          <w:iCs/>
          <w:noProof/>
        </w:rPr>
        <w:t xml:space="preserve">242. </w:t>
      </w:r>
    </w:p>
  </w:footnote>
  <w:footnote w:id="85">
    <w:p w14:paraId="137FEC2C" w14:textId="57EAA782" w:rsidR="002D001B" w:rsidRPr="002D001B" w:rsidRDefault="002D001B" w:rsidP="002D001B">
      <w:pPr>
        <w:pStyle w:val="Kurios-CatatanKaki"/>
      </w:pPr>
      <w:r w:rsidRPr="002D001B">
        <w:rPr>
          <w:rStyle w:val="FootnoteReference"/>
          <w:lang w:val="id-ID"/>
        </w:rPr>
        <w:footnoteRef/>
      </w:r>
      <w:r w:rsidRPr="002D001B">
        <w:t xml:space="preserve"> </w:t>
      </w:r>
      <w:r w:rsidRPr="002D001B">
        <w:rPr>
          <w:noProof/>
        </w:rPr>
        <w:t xml:space="preserve">Kärkkäinen, </w:t>
      </w:r>
      <w:r w:rsidRPr="002D001B">
        <w:rPr>
          <w:i/>
          <w:noProof/>
        </w:rPr>
        <w:t xml:space="preserve">Hope and Community, </w:t>
      </w:r>
      <w:r w:rsidRPr="002D001B">
        <w:rPr>
          <w:iCs/>
          <w:noProof/>
        </w:rPr>
        <w:t>453</w:t>
      </w:r>
      <w:r w:rsidRPr="002D001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613A"/>
    <w:multiLevelType w:val="hybridMultilevel"/>
    <w:tmpl w:val="5488532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52627FD"/>
    <w:multiLevelType w:val="hybridMultilevel"/>
    <w:tmpl w:val="A572AB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57681"/>
    <w:multiLevelType w:val="hybridMultilevel"/>
    <w:tmpl w:val="2F88E7C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62613"/>
    <w:multiLevelType w:val="hybridMultilevel"/>
    <w:tmpl w:val="7CFE9A0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FF61335"/>
    <w:multiLevelType w:val="hybridMultilevel"/>
    <w:tmpl w:val="03400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9D72B8"/>
    <w:multiLevelType w:val="hybridMultilevel"/>
    <w:tmpl w:val="B9FC7C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B149E8"/>
    <w:multiLevelType w:val="multilevel"/>
    <w:tmpl w:val="F9DC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F92EDA"/>
    <w:multiLevelType w:val="hybridMultilevel"/>
    <w:tmpl w:val="514C58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1234E4"/>
    <w:multiLevelType w:val="hybridMultilevel"/>
    <w:tmpl w:val="6D9697A2"/>
    <w:lvl w:ilvl="0" w:tplc="86BAFFFA">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2AF144A"/>
    <w:multiLevelType w:val="hybridMultilevel"/>
    <w:tmpl w:val="8FD2181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49877C4"/>
    <w:multiLevelType w:val="hybridMultilevel"/>
    <w:tmpl w:val="CF08F3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A7C633E"/>
    <w:multiLevelType w:val="hybridMultilevel"/>
    <w:tmpl w:val="1A44F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566526"/>
    <w:multiLevelType w:val="hybridMultilevel"/>
    <w:tmpl w:val="3B64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7251F7"/>
    <w:multiLevelType w:val="hybridMultilevel"/>
    <w:tmpl w:val="514C58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DF160D6"/>
    <w:multiLevelType w:val="hybridMultilevel"/>
    <w:tmpl w:val="83FCE5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60F4DEB"/>
    <w:multiLevelType w:val="hybridMultilevel"/>
    <w:tmpl w:val="0C1CE03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8C96934"/>
    <w:multiLevelType w:val="hybridMultilevel"/>
    <w:tmpl w:val="8FD2181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5AD7223F"/>
    <w:multiLevelType w:val="hybridMultilevel"/>
    <w:tmpl w:val="24D2E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7A45071"/>
    <w:multiLevelType w:val="hybridMultilevel"/>
    <w:tmpl w:val="7CFE9A0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692B73CB"/>
    <w:multiLevelType w:val="hybridMultilevel"/>
    <w:tmpl w:val="BEBA95EA"/>
    <w:lvl w:ilvl="0" w:tplc="0409000F">
      <w:start w:val="1"/>
      <w:numFmt w:val="decimal"/>
      <w:pStyle w:val="KutipanLangsu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A83DB0"/>
    <w:multiLevelType w:val="hybridMultilevel"/>
    <w:tmpl w:val="A39E8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CE5520"/>
    <w:multiLevelType w:val="hybridMultilevel"/>
    <w:tmpl w:val="5488532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75465EAF"/>
    <w:multiLevelType w:val="hybridMultilevel"/>
    <w:tmpl w:val="3F7611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54B18BC"/>
    <w:multiLevelType w:val="hybridMultilevel"/>
    <w:tmpl w:val="2362E9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9"/>
  </w:num>
  <w:num w:numId="3">
    <w:abstractNumId w:val="2"/>
  </w:num>
  <w:num w:numId="4">
    <w:abstractNumId w:val="11"/>
  </w:num>
  <w:num w:numId="5">
    <w:abstractNumId w:val="20"/>
  </w:num>
  <w:num w:numId="6">
    <w:abstractNumId w:val="8"/>
  </w:num>
  <w:num w:numId="7">
    <w:abstractNumId w:val="16"/>
  </w:num>
  <w:num w:numId="8">
    <w:abstractNumId w:val="18"/>
  </w:num>
  <w:num w:numId="9">
    <w:abstractNumId w:val="0"/>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3"/>
  </w:num>
  <w:num w:numId="15">
    <w:abstractNumId w:val="10"/>
  </w:num>
  <w:num w:numId="16">
    <w:abstractNumId w:val="14"/>
  </w:num>
  <w:num w:numId="17">
    <w:abstractNumId w:val="17"/>
  </w:num>
  <w:num w:numId="18">
    <w:abstractNumId w:val="22"/>
  </w:num>
  <w:num w:numId="19">
    <w:abstractNumId w:val="5"/>
  </w:num>
  <w:num w:numId="20">
    <w:abstractNumId w:val="1"/>
  </w:num>
  <w:num w:numId="21">
    <w:abstractNumId w:val="4"/>
  </w:num>
  <w:num w:numId="22">
    <w:abstractNumId w:val="13"/>
  </w:num>
  <w:num w:numId="23">
    <w:abstractNumId w:val="7"/>
  </w:num>
  <w:num w:numId="24">
    <w:abstractNumId w:val="9"/>
  </w:num>
  <w:num w:numId="25">
    <w:abstractNumId w:val="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0NzUwMTUzMzcxN7NQ0lEKTi0uzszPAykwqQUAGt80wCwAAAA="/>
  </w:docVars>
  <w:rsids>
    <w:rsidRoot w:val="00FB01A0"/>
    <w:rsid w:val="0008518B"/>
    <w:rsid w:val="00092865"/>
    <w:rsid w:val="000B0D31"/>
    <w:rsid w:val="000E754D"/>
    <w:rsid w:val="000F3719"/>
    <w:rsid w:val="00114C01"/>
    <w:rsid w:val="001424F4"/>
    <w:rsid w:val="00142933"/>
    <w:rsid w:val="001438C0"/>
    <w:rsid w:val="0015650A"/>
    <w:rsid w:val="001A71EB"/>
    <w:rsid w:val="001B2EB6"/>
    <w:rsid w:val="0020469B"/>
    <w:rsid w:val="00262016"/>
    <w:rsid w:val="00263648"/>
    <w:rsid w:val="00275A8D"/>
    <w:rsid w:val="002B030C"/>
    <w:rsid w:val="002C159F"/>
    <w:rsid w:val="002D001B"/>
    <w:rsid w:val="003232F3"/>
    <w:rsid w:val="00390E7F"/>
    <w:rsid w:val="003D46F5"/>
    <w:rsid w:val="003E631F"/>
    <w:rsid w:val="004832D0"/>
    <w:rsid w:val="00493588"/>
    <w:rsid w:val="004E38EE"/>
    <w:rsid w:val="00516425"/>
    <w:rsid w:val="00521AC9"/>
    <w:rsid w:val="00522C26"/>
    <w:rsid w:val="00571018"/>
    <w:rsid w:val="005747EC"/>
    <w:rsid w:val="00594B5D"/>
    <w:rsid w:val="00613365"/>
    <w:rsid w:val="006A71FF"/>
    <w:rsid w:val="006D0ABF"/>
    <w:rsid w:val="00747FDA"/>
    <w:rsid w:val="00770874"/>
    <w:rsid w:val="00792523"/>
    <w:rsid w:val="008012E2"/>
    <w:rsid w:val="00886620"/>
    <w:rsid w:val="00893B05"/>
    <w:rsid w:val="008C3635"/>
    <w:rsid w:val="0095027E"/>
    <w:rsid w:val="00954BD1"/>
    <w:rsid w:val="009D3F48"/>
    <w:rsid w:val="009D6728"/>
    <w:rsid w:val="00A5358D"/>
    <w:rsid w:val="00A97F89"/>
    <w:rsid w:val="00AC64E6"/>
    <w:rsid w:val="00B92716"/>
    <w:rsid w:val="00C324AF"/>
    <w:rsid w:val="00C37D28"/>
    <w:rsid w:val="00C843A3"/>
    <w:rsid w:val="00C967A2"/>
    <w:rsid w:val="00CD48E0"/>
    <w:rsid w:val="00D84939"/>
    <w:rsid w:val="00DA233C"/>
    <w:rsid w:val="00DF6860"/>
    <w:rsid w:val="00E44200"/>
    <w:rsid w:val="00E572CB"/>
    <w:rsid w:val="00E671B4"/>
    <w:rsid w:val="00EE46B5"/>
    <w:rsid w:val="00F004EE"/>
    <w:rsid w:val="00F32348"/>
    <w:rsid w:val="00FB01A0"/>
    <w:rsid w:val="00FB298D"/>
    <w:rsid w:val="00FD5328"/>
    <w:rsid w:val="00FF66DA"/>
  </w:rsids>
  <m:mathPr>
    <m:mathFont m:val="Cambria Math"/>
    <m:brkBin m:val="before"/>
    <m:brkBinSub m:val="--"/>
    <m:smallFrac m:val="0"/>
    <m:dispDef/>
    <m:lMargin m:val="0"/>
    <m:rMargin m:val="0"/>
    <m:defJc m:val="centerGroup"/>
    <m:wrapIndent m:val="1440"/>
    <m:intLim m:val="subSup"/>
    <m:naryLim m:val="undOvr"/>
  </m:mathPr>
  <w:themeFontLang w:val="id-ID"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929C3"/>
  <w15:chartTrackingRefBased/>
  <w15:docId w15:val="{0660DC32-6431-44C1-94CA-8D1D699B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FB0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46B5"/>
    <w:pPr>
      <w:keepNext/>
      <w:keepLines/>
      <w:spacing w:before="40" w:after="0" w:line="259" w:lineRule="auto"/>
      <w:outlineLvl w:val="1"/>
    </w:pPr>
    <w:rPr>
      <w:rFonts w:asciiTheme="majorHAnsi" w:eastAsiaTheme="majorEastAsia" w:hAnsiTheme="majorHAnsi" w:cstheme="majorBidi"/>
      <w:color w:val="2F5496" w:themeColor="accent1" w:themeShade="BF"/>
      <w:sz w:val="28"/>
      <w:szCs w:val="28"/>
      <w:lang w:val="en-US"/>
    </w:rPr>
  </w:style>
  <w:style w:type="paragraph" w:styleId="Heading3">
    <w:name w:val="heading 3"/>
    <w:basedOn w:val="Normal"/>
    <w:next w:val="Normal"/>
    <w:link w:val="Heading3Char"/>
    <w:uiPriority w:val="9"/>
    <w:semiHidden/>
    <w:unhideWhenUsed/>
    <w:qFormat/>
    <w:rsid w:val="00EE46B5"/>
    <w:pPr>
      <w:keepNext/>
      <w:keepLines/>
      <w:spacing w:before="40" w:after="0" w:line="259"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kel-Judul">
    <w:name w:val="Artikel - Judul"/>
    <w:basedOn w:val="Normal"/>
    <w:link w:val="Artikel-JudulChar"/>
    <w:qFormat/>
    <w:rsid w:val="00FB01A0"/>
    <w:pPr>
      <w:spacing w:after="0" w:line="25" w:lineRule="atLeast"/>
      <w:ind w:left="851" w:right="804"/>
      <w:jc w:val="center"/>
      <w:outlineLvl w:val="0"/>
    </w:pPr>
    <w:rPr>
      <w:rFonts w:asciiTheme="majorHAnsi" w:hAnsiTheme="majorHAnsi"/>
      <w:b/>
      <w:sz w:val="28"/>
      <w:szCs w:val="28"/>
    </w:rPr>
  </w:style>
  <w:style w:type="character" w:customStyle="1" w:styleId="Artikel-JudulChar">
    <w:name w:val="Artikel - Judul Char"/>
    <w:basedOn w:val="DefaultParagraphFont"/>
    <w:link w:val="Artikel-Judul"/>
    <w:rsid w:val="00FB01A0"/>
    <w:rPr>
      <w:rFonts w:asciiTheme="majorHAnsi" w:hAnsiTheme="majorHAnsi"/>
      <w:b/>
      <w:sz w:val="28"/>
      <w:szCs w:val="28"/>
    </w:rPr>
  </w:style>
  <w:style w:type="paragraph" w:customStyle="1" w:styleId="Artikel-Identitas">
    <w:name w:val="Artikel - Identitas"/>
    <w:basedOn w:val="Normal"/>
    <w:link w:val="Artikel-IdentitasChar"/>
    <w:qFormat/>
    <w:rsid w:val="00FB01A0"/>
    <w:pPr>
      <w:spacing w:after="0" w:line="240" w:lineRule="auto"/>
      <w:jc w:val="center"/>
      <w:outlineLvl w:val="0"/>
    </w:pPr>
    <w:rPr>
      <w:rFonts w:asciiTheme="majorHAnsi" w:hAnsiTheme="majorHAnsi"/>
      <w:sz w:val="24"/>
      <w:szCs w:val="24"/>
    </w:rPr>
  </w:style>
  <w:style w:type="character" w:customStyle="1" w:styleId="Artikel-IdentitasChar">
    <w:name w:val="Artikel - Identitas Char"/>
    <w:basedOn w:val="DefaultParagraphFont"/>
    <w:link w:val="Artikel-Identitas"/>
    <w:rsid w:val="00FB01A0"/>
    <w:rPr>
      <w:rFonts w:asciiTheme="majorHAnsi" w:hAnsiTheme="majorHAnsi"/>
      <w:sz w:val="24"/>
      <w:szCs w:val="24"/>
    </w:rPr>
  </w:style>
  <w:style w:type="paragraph" w:customStyle="1" w:styleId="Artikel-Subjudul1">
    <w:name w:val="Artikel - Subjudul 1"/>
    <w:basedOn w:val="Heading1"/>
    <w:link w:val="Artikel-Subjudul1Char"/>
    <w:qFormat/>
    <w:rsid w:val="00FB01A0"/>
    <w:pPr>
      <w:spacing w:before="0" w:after="120" w:line="240" w:lineRule="auto"/>
      <w:ind w:left="567" w:right="567"/>
      <w:jc w:val="center"/>
    </w:pPr>
    <w:rPr>
      <w:b/>
      <w:color w:val="000000" w:themeColor="text1"/>
      <w:sz w:val="24"/>
      <w:szCs w:val="24"/>
    </w:rPr>
  </w:style>
  <w:style w:type="character" w:customStyle="1" w:styleId="Artikel-Subjudul1Char">
    <w:name w:val="Artikel - Subjudul 1 Char"/>
    <w:basedOn w:val="DefaultParagraphFont"/>
    <w:link w:val="Artikel-Subjudul1"/>
    <w:rsid w:val="00FB01A0"/>
    <w:rPr>
      <w:rFonts w:asciiTheme="majorHAnsi" w:eastAsiaTheme="majorEastAsia" w:hAnsiTheme="majorHAnsi" w:cstheme="majorBidi"/>
      <w:b/>
      <w:color w:val="000000" w:themeColor="text1"/>
      <w:sz w:val="24"/>
      <w:szCs w:val="24"/>
    </w:rPr>
  </w:style>
  <w:style w:type="character" w:customStyle="1" w:styleId="Heading1Char">
    <w:name w:val="Heading 1 Char"/>
    <w:basedOn w:val="DefaultParagraphFont"/>
    <w:link w:val="Heading1"/>
    <w:uiPriority w:val="9"/>
    <w:rsid w:val="00FB01A0"/>
    <w:rPr>
      <w:rFonts w:asciiTheme="majorHAnsi" w:eastAsiaTheme="majorEastAsia" w:hAnsiTheme="majorHAnsi" w:cstheme="majorBidi"/>
      <w:color w:val="2F5496" w:themeColor="accent1" w:themeShade="BF"/>
      <w:sz w:val="32"/>
      <w:szCs w:val="32"/>
    </w:rPr>
  </w:style>
  <w:style w:type="paragraph" w:customStyle="1" w:styleId="Artikel-Isi">
    <w:name w:val="Artikel - Isi"/>
    <w:basedOn w:val="Normal"/>
    <w:link w:val="Artikel-IsiChar"/>
    <w:qFormat/>
    <w:rsid w:val="00FB01A0"/>
    <w:pPr>
      <w:spacing w:after="120" w:line="25" w:lineRule="atLeast"/>
      <w:ind w:right="567" w:firstLine="709"/>
      <w:contextualSpacing/>
    </w:pPr>
    <w:rPr>
      <w:rFonts w:ascii="Cambria" w:hAnsi="Cambria"/>
      <w:sz w:val="24"/>
      <w:szCs w:val="24"/>
    </w:rPr>
  </w:style>
  <w:style w:type="character" w:customStyle="1" w:styleId="Artikel-IsiChar">
    <w:name w:val="Artikel - Isi Char"/>
    <w:basedOn w:val="DefaultParagraphFont"/>
    <w:link w:val="Artikel-Isi"/>
    <w:rsid w:val="00FB01A0"/>
    <w:rPr>
      <w:rFonts w:ascii="Cambria" w:hAnsi="Cambria"/>
      <w:sz w:val="24"/>
      <w:szCs w:val="24"/>
    </w:rPr>
  </w:style>
  <w:style w:type="paragraph" w:customStyle="1" w:styleId="Artikel-Tabel">
    <w:name w:val="Artikel - Tabel"/>
    <w:basedOn w:val="Normal"/>
    <w:link w:val="Artikel-TabelChar"/>
    <w:qFormat/>
    <w:rsid w:val="00FB01A0"/>
    <w:pPr>
      <w:spacing w:after="0" w:line="25" w:lineRule="atLeast"/>
      <w:jc w:val="center"/>
      <w:outlineLvl w:val="0"/>
    </w:pPr>
    <w:rPr>
      <w:rFonts w:asciiTheme="majorHAnsi" w:hAnsiTheme="majorHAnsi" w:cs="Times New Roman"/>
      <w:bCs/>
      <w:i/>
      <w:iCs/>
      <w:sz w:val="22"/>
      <w:szCs w:val="22"/>
    </w:rPr>
  </w:style>
  <w:style w:type="character" w:customStyle="1" w:styleId="Artikel-TabelChar">
    <w:name w:val="Artikel - Tabel Char"/>
    <w:basedOn w:val="DefaultParagraphFont"/>
    <w:link w:val="Artikel-Tabel"/>
    <w:rsid w:val="00FB01A0"/>
    <w:rPr>
      <w:rFonts w:asciiTheme="majorHAnsi" w:hAnsiTheme="majorHAnsi" w:cs="Times New Roman"/>
      <w:bCs/>
      <w:i/>
      <w:iCs/>
      <w:sz w:val="22"/>
      <w:szCs w:val="22"/>
    </w:rPr>
  </w:style>
  <w:style w:type="paragraph" w:customStyle="1" w:styleId="Artikel-DaftarPustaka">
    <w:name w:val="Artikel - Daftar Pustaka"/>
    <w:basedOn w:val="Normal"/>
    <w:link w:val="Artikel-DaftarPustakaChar"/>
    <w:qFormat/>
    <w:rsid w:val="00FB01A0"/>
    <w:pPr>
      <w:widowControl w:val="0"/>
      <w:autoSpaceDE w:val="0"/>
      <w:autoSpaceDN w:val="0"/>
      <w:adjustRightInd w:val="0"/>
      <w:spacing w:after="120" w:line="240" w:lineRule="auto"/>
      <w:ind w:left="482" w:hanging="482"/>
    </w:pPr>
    <w:rPr>
      <w:rFonts w:asciiTheme="majorHAnsi" w:hAnsiTheme="majorHAnsi" w:cs="Times New Roman"/>
      <w:sz w:val="24"/>
      <w:szCs w:val="24"/>
    </w:rPr>
  </w:style>
  <w:style w:type="character" w:customStyle="1" w:styleId="Artikel-DaftarPustakaChar">
    <w:name w:val="Artikel - Daftar Pustaka Char"/>
    <w:basedOn w:val="DefaultParagraphFont"/>
    <w:link w:val="Artikel-DaftarPustaka"/>
    <w:rsid w:val="00FB01A0"/>
    <w:rPr>
      <w:rFonts w:asciiTheme="majorHAnsi" w:hAnsiTheme="majorHAnsi" w:cs="Times New Roman"/>
      <w:sz w:val="24"/>
      <w:szCs w:val="24"/>
    </w:rPr>
  </w:style>
  <w:style w:type="paragraph" w:customStyle="1" w:styleId="Artikel-CatatanKaki">
    <w:name w:val="Artikel - Catatan Kaki"/>
    <w:basedOn w:val="FootnoteText"/>
    <w:link w:val="Artikel-CatatanKakiChar"/>
    <w:qFormat/>
    <w:rsid w:val="00FB01A0"/>
    <w:pPr>
      <w:ind w:firstLine="567"/>
    </w:pPr>
    <w:rPr>
      <w:rFonts w:ascii="Cambria" w:eastAsia="Times New Roman" w:hAnsi="Cambria" w:cs="Times New Roman"/>
    </w:rPr>
  </w:style>
  <w:style w:type="character" w:customStyle="1" w:styleId="Artikel-CatatanKakiChar">
    <w:name w:val="Artikel - Catatan Kaki Char"/>
    <w:basedOn w:val="FootnoteTextChar"/>
    <w:link w:val="Artikel-CatatanKaki"/>
    <w:rsid w:val="00FB01A0"/>
    <w:rPr>
      <w:rFonts w:ascii="Cambria" w:eastAsia="Times New Roman" w:hAnsi="Cambria" w:cs="Times New Roman"/>
    </w:rPr>
  </w:style>
  <w:style w:type="paragraph" w:styleId="FootnoteText">
    <w:name w:val="footnote text"/>
    <w:basedOn w:val="Normal"/>
    <w:link w:val="FootnoteTextChar"/>
    <w:uiPriority w:val="99"/>
    <w:unhideWhenUsed/>
    <w:rsid w:val="00FB01A0"/>
    <w:pPr>
      <w:spacing w:after="0" w:line="240" w:lineRule="auto"/>
    </w:pPr>
  </w:style>
  <w:style w:type="character" w:customStyle="1" w:styleId="FootnoteTextChar">
    <w:name w:val="Footnote Text Char"/>
    <w:basedOn w:val="DefaultParagraphFont"/>
    <w:link w:val="FootnoteText"/>
    <w:uiPriority w:val="99"/>
    <w:rsid w:val="00FB01A0"/>
  </w:style>
  <w:style w:type="paragraph" w:customStyle="1" w:styleId="Artikel-Subjudul2">
    <w:name w:val="Artikel - Subjudul 2"/>
    <w:basedOn w:val="Artikel-Subjudul1"/>
    <w:link w:val="Artikel-Subjudul2Char"/>
    <w:qFormat/>
    <w:rsid w:val="00FB01A0"/>
    <w:rPr>
      <w:b w:val="0"/>
      <w:bCs/>
    </w:rPr>
  </w:style>
  <w:style w:type="character" w:customStyle="1" w:styleId="Artikel-Subjudul2Char">
    <w:name w:val="Artikel - Subjudul 2 Char"/>
    <w:basedOn w:val="Artikel-Subjudul1Char"/>
    <w:link w:val="Artikel-Subjudul2"/>
    <w:rsid w:val="00FB01A0"/>
    <w:rPr>
      <w:rFonts w:asciiTheme="majorHAnsi" w:eastAsiaTheme="majorEastAsia" w:hAnsiTheme="majorHAnsi" w:cstheme="majorBidi"/>
      <w:b w:val="0"/>
      <w:bCs/>
      <w:color w:val="000000" w:themeColor="text1"/>
      <w:sz w:val="24"/>
      <w:szCs w:val="24"/>
    </w:rPr>
  </w:style>
  <w:style w:type="paragraph" w:customStyle="1" w:styleId="Artikel-KutipanLangsung">
    <w:name w:val="Artikel - Kutipan Langsung"/>
    <w:basedOn w:val="Normal"/>
    <w:link w:val="Artikel-KutipanLangsungChar"/>
    <w:qFormat/>
    <w:rsid w:val="00FB01A0"/>
    <w:pPr>
      <w:spacing w:after="120" w:line="240" w:lineRule="auto"/>
      <w:ind w:left="851" w:right="380"/>
      <w:contextualSpacing/>
      <w:jc w:val="both"/>
    </w:pPr>
    <w:rPr>
      <w:rFonts w:asciiTheme="majorHAnsi" w:hAnsiTheme="majorHAnsi" w:cs="Times New Roman"/>
      <w:iCs/>
      <w:sz w:val="22"/>
      <w:szCs w:val="22"/>
    </w:rPr>
  </w:style>
  <w:style w:type="character" w:customStyle="1" w:styleId="Artikel-KutipanLangsungChar">
    <w:name w:val="Artikel - Kutipan Langsung Char"/>
    <w:basedOn w:val="DefaultParagraphFont"/>
    <w:link w:val="Artikel-KutipanLangsung"/>
    <w:rsid w:val="00FB01A0"/>
    <w:rPr>
      <w:rFonts w:asciiTheme="majorHAnsi" w:hAnsiTheme="majorHAnsi" w:cs="Times New Roman"/>
      <w:iCs/>
      <w:sz w:val="22"/>
      <w:szCs w:val="22"/>
    </w:rPr>
  </w:style>
  <w:style w:type="paragraph" w:styleId="Footer">
    <w:name w:val="footer"/>
    <w:basedOn w:val="Normal"/>
    <w:link w:val="FooterChar"/>
    <w:uiPriority w:val="99"/>
    <w:qFormat/>
    <w:rsid w:val="00FB01A0"/>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FB01A0"/>
    <w:rPr>
      <w:rFonts w:ascii="Times New Roman" w:hAnsi="Times New Roman"/>
      <w:sz w:val="24"/>
      <w:szCs w:val="24"/>
    </w:rPr>
  </w:style>
  <w:style w:type="character" w:styleId="FootnoteReference">
    <w:name w:val="footnote reference"/>
    <w:basedOn w:val="DefaultParagraphFont"/>
    <w:uiPriority w:val="99"/>
    <w:qFormat/>
    <w:rsid w:val="00FB01A0"/>
    <w:rPr>
      <w:vertAlign w:val="superscript"/>
    </w:rPr>
  </w:style>
  <w:style w:type="paragraph" w:styleId="BalloonText">
    <w:name w:val="Balloon Text"/>
    <w:basedOn w:val="Normal"/>
    <w:link w:val="BalloonTextChar"/>
    <w:uiPriority w:val="99"/>
    <w:semiHidden/>
    <w:unhideWhenUsed/>
    <w:rsid w:val="002B0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30C"/>
    <w:rPr>
      <w:rFonts w:ascii="Segoe UI" w:hAnsi="Segoe UI" w:cs="Segoe UI"/>
      <w:sz w:val="18"/>
      <w:szCs w:val="18"/>
    </w:rPr>
  </w:style>
  <w:style w:type="character" w:styleId="Emphasis">
    <w:name w:val="Emphasis"/>
    <w:basedOn w:val="DefaultParagraphFont"/>
    <w:uiPriority w:val="20"/>
    <w:qFormat/>
    <w:rsid w:val="002B030C"/>
    <w:rPr>
      <w:i/>
      <w:iCs/>
    </w:rPr>
  </w:style>
  <w:style w:type="paragraph" w:customStyle="1" w:styleId="Kurios-Abstrak">
    <w:name w:val="Kurios - Abstrak"/>
    <w:basedOn w:val="Normal"/>
    <w:link w:val="Kurios-AbstrakChar"/>
    <w:qFormat/>
    <w:rsid w:val="00FD5328"/>
    <w:pPr>
      <w:spacing w:before="100" w:beforeAutospacing="1" w:after="100" w:afterAutospacing="1" w:line="240" w:lineRule="auto"/>
      <w:contextualSpacing/>
    </w:pPr>
    <w:rPr>
      <w:rFonts w:asciiTheme="majorBidi" w:eastAsia="Times New Roman" w:hAnsiTheme="majorBidi" w:cstheme="majorBidi"/>
      <w:sz w:val="22"/>
      <w:szCs w:val="22"/>
      <w:lang w:eastAsia="id-ID" w:bidi="he-IL"/>
    </w:rPr>
  </w:style>
  <w:style w:type="paragraph" w:customStyle="1" w:styleId="KuriosKonten">
    <w:name w:val="Kurios Konten"/>
    <w:basedOn w:val="Normal"/>
    <w:link w:val="KuriosKontenChar"/>
    <w:qFormat/>
    <w:rsid w:val="0008518B"/>
    <w:pPr>
      <w:spacing w:before="100" w:beforeAutospacing="1" w:after="100" w:afterAutospacing="1" w:line="300" w:lineRule="auto"/>
      <w:ind w:firstLine="567"/>
      <w:contextualSpacing/>
    </w:pPr>
    <w:rPr>
      <w:rFonts w:ascii="Times New Roman" w:eastAsia="Times New Roman" w:hAnsi="Times New Roman" w:cs="Times New Roman"/>
      <w:sz w:val="24"/>
      <w:szCs w:val="24"/>
      <w:lang w:val="en-ID" w:eastAsia="id-ID" w:bidi="he-IL"/>
    </w:rPr>
  </w:style>
  <w:style w:type="character" w:customStyle="1" w:styleId="Kurios-AbstrakChar">
    <w:name w:val="Kurios - Abstrak Char"/>
    <w:basedOn w:val="DefaultParagraphFont"/>
    <w:link w:val="Kurios-Abstrak"/>
    <w:rsid w:val="00FD5328"/>
    <w:rPr>
      <w:rFonts w:asciiTheme="majorBidi" w:eastAsia="Times New Roman" w:hAnsiTheme="majorBidi" w:cstheme="majorBidi"/>
      <w:sz w:val="22"/>
      <w:szCs w:val="22"/>
      <w:lang w:eastAsia="id-ID" w:bidi="he-IL"/>
    </w:rPr>
  </w:style>
  <w:style w:type="character" w:styleId="Hyperlink">
    <w:name w:val="Hyperlink"/>
    <w:basedOn w:val="DefaultParagraphFont"/>
    <w:uiPriority w:val="99"/>
    <w:unhideWhenUsed/>
    <w:rsid w:val="002B030C"/>
    <w:rPr>
      <w:color w:val="0563C1" w:themeColor="hyperlink"/>
      <w:u w:val="single"/>
    </w:rPr>
  </w:style>
  <w:style w:type="character" w:customStyle="1" w:styleId="KuriosKontenChar">
    <w:name w:val="Kurios Konten Char"/>
    <w:basedOn w:val="DefaultParagraphFont"/>
    <w:link w:val="KuriosKonten"/>
    <w:rsid w:val="0008518B"/>
    <w:rPr>
      <w:rFonts w:ascii="Times New Roman" w:eastAsia="Times New Roman" w:hAnsi="Times New Roman" w:cs="Times New Roman"/>
      <w:sz w:val="24"/>
      <w:szCs w:val="24"/>
      <w:lang w:val="en-ID" w:eastAsia="id-ID" w:bidi="he-IL"/>
    </w:rPr>
  </w:style>
  <w:style w:type="character" w:customStyle="1" w:styleId="UnresolvedMention">
    <w:name w:val="Unresolved Mention"/>
    <w:basedOn w:val="DefaultParagraphFont"/>
    <w:uiPriority w:val="99"/>
    <w:semiHidden/>
    <w:unhideWhenUsed/>
    <w:rsid w:val="002B030C"/>
    <w:rPr>
      <w:color w:val="605E5C"/>
      <w:shd w:val="clear" w:color="auto" w:fill="E1DFDD"/>
    </w:rPr>
  </w:style>
  <w:style w:type="paragraph" w:customStyle="1" w:styleId="SubJudul1">
    <w:name w:val="Sub Judul 1"/>
    <w:basedOn w:val="Heading1"/>
    <w:link w:val="SubJudul1Char"/>
    <w:qFormat/>
    <w:rsid w:val="00EE46B5"/>
    <w:pPr>
      <w:spacing w:before="0" w:after="240" w:line="240" w:lineRule="auto"/>
      <w:ind w:left="1134" w:right="1219"/>
      <w:contextualSpacing/>
      <w:jc w:val="center"/>
    </w:pPr>
    <w:rPr>
      <w:rFonts w:ascii="Cambria" w:hAnsi="Cambria"/>
      <w:b/>
      <w:color w:val="000000" w:themeColor="text1"/>
      <w:sz w:val="24"/>
      <w:szCs w:val="24"/>
      <w:lang w:val="en-US"/>
    </w:rPr>
  </w:style>
  <w:style w:type="character" w:customStyle="1" w:styleId="SubJudul1Char">
    <w:name w:val="Sub Judul 1 Char"/>
    <w:basedOn w:val="Heading1Char"/>
    <w:link w:val="SubJudul1"/>
    <w:rsid w:val="00EE46B5"/>
    <w:rPr>
      <w:rFonts w:ascii="Cambria" w:eastAsiaTheme="majorEastAsia" w:hAnsi="Cambria" w:cstheme="majorBidi"/>
      <w:b/>
      <w:color w:val="000000" w:themeColor="text1"/>
      <w:sz w:val="24"/>
      <w:szCs w:val="24"/>
      <w:lang w:val="en-US"/>
    </w:rPr>
  </w:style>
  <w:style w:type="paragraph" w:customStyle="1" w:styleId="Isi">
    <w:name w:val="Isi"/>
    <w:basedOn w:val="Normal"/>
    <w:link w:val="IsiChar"/>
    <w:qFormat/>
    <w:rsid w:val="00EE46B5"/>
    <w:pPr>
      <w:spacing w:after="0" w:line="480" w:lineRule="auto"/>
      <w:ind w:firstLine="720"/>
    </w:pPr>
    <w:rPr>
      <w:rFonts w:ascii="Cambria" w:hAnsi="Cambria"/>
      <w:color w:val="000000" w:themeColor="text1"/>
      <w:sz w:val="24"/>
      <w:szCs w:val="24"/>
      <w:lang w:val="en-US"/>
    </w:rPr>
  </w:style>
  <w:style w:type="character" w:customStyle="1" w:styleId="IsiChar">
    <w:name w:val="Isi Char"/>
    <w:basedOn w:val="DefaultParagraphFont"/>
    <w:link w:val="Isi"/>
    <w:rsid w:val="00EE46B5"/>
    <w:rPr>
      <w:rFonts w:ascii="Cambria" w:hAnsi="Cambria"/>
      <w:color w:val="000000" w:themeColor="text1"/>
      <w:sz w:val="24"/>
      <w:szCs w:val="24"/>
      <w:lang w:val="en-US"/>
    </w:rPr>
  </w:style>
  <w:style w:type="paragraph" w:customStyle="1" w:styleId="KutipanLangsung">
    <w:name w:val="Kutipan Langsung"/>
    <w:basedOn w:val="Normal"/>
    <w:link w:val="KutipanLangsungChar"/>
    <w:qFormat/>
    <w:rsid w:val="00EE46B5"/>
    <w:pPr>
      <w:numPr>
        <w:numId w:val="2"/>
      </w:numPr>
      <w:spacing w:after="240" w:line="240" w:lineRule="auto"/>
      <w:contextualSpacing/>
    </w:pPr>
    <w:rPr>
      <w:rFonts w:ascii="Cambria" w:eastAsia="Times New Roman" w:hAnsi="Cambria"/>
      <w:color w:val="000000" w:themeColor="text1"/>
      <w:sz w:val="22"/>
      <w:szCs w:val="24"/>
      <w:lang w:val="en-US"/>
    </w:rPr>
  </w:style>
  <w:style w:type="character" w:customStyle="1" w:styleId="KutipanLangsungChar">
    <w:name w:val="Kutipan Langsung Char"/>
    <w:basedOn w:val="DefaultParagraphFont"/>
    <w:link w:val="KutipanLangsung"/>
    <w:rsid w:val="00EE46B5"/>
    <w:rPr>
      <w:rFonts w:ascii="Cambria" w:eastAsia="Times New Roman" w:hAnsi="Cambria"/>
      <w:color w:val="000000" w:themeColor="text1"/>
      <w:sz w:val="22"/>
      <w:szCs w:val="24"/>
      <w:lang w:val="en-US"/>
    </w:rPr>
  </w:style>
  <w:style w:type="paragraph" w:customStyle="1" w:styleId="CatatanKaki">
    <w:name w:val="Catatan Kaki"/>
    <w:basedOn w:val="FootnoteText"/>
    <w:link w:val="CatatanKakiChar"/>
    <w:qFormat/>
    <w:rsid w:val="00EE46B5"/>
    <w:pPr>
      <w:ind w:firstLine="720"/>
    </w:pPr>
    <w:rPr>
      <w:rFonts w:ascii="Cambria" w:hAnsi="Cambria"/>
      <w:lang w:val="en-US"/>
    </w:rPr>
  </w:style>
  <w:style w:type="character" w:customStyle="1" w:styleId="CatatanKakiChar">
    <w:name w:val="Catatan Kaki Char"/>
    <w:basedOn w:val="FootnoteTextChar"/>
    <w:link w:val="CatatanKaki"/>
    <w:rsid w:val="00EE46B5"/>
    <w:rPr>
      <w:rFonts w:ascii="Cambria" w:hAnsi="Cambria"/>
      <w:lang w:val="en-US"/>
    </w:rPr>
  </w:style>
  <w:style w:type="paragraph" w:customStyle="1" w:styleId="KuriosSubjudul">
    <w:name w:val="Kurios Subjudul"/>
    <w:basedOn w:val="Normal"/>
    <w:link w:val="KuriosSubjudulChar"/>
    <w:qFormat/>
    <w:rsid w:val="00EE46B5"/>
    <w:pPr>
      <w:spacing w:before="100" w:beforeAutospacing="1" w:after="100" w:afterAutospacing="1" w:line="240" w:lineRule="auto"/>
    </w:pPr>
    <w:rPr>
      <w:rFonts w:ascii="Times New Roman" w:eastAsia="Times New Roman" w:hAnsi="Times New Roman" w:cs="Times New Roman"/>
      <w:b/>
      <w:bCs/>
      <w:sz w:val="24"/>
      <w:szCs w:val="24"/>
      <w:lang w:val="en-ID" w:eastAsia="id-ID" w:bidi="he-IL"/>
    </w:rPr>
  </w:style>
  <w:style w:type="character" w:customStyle="1" w:styleId="Heading2Char">
    <w:name w:val="Heading 2 Char"/>
    <w:basedOn w:val="DefaultParagraphFont"/>
    <w:link w:val="Heading2"/>
    <w:uiPriority w:val="9"/>
    <w:semiHidden/>
    <w:rsid w:val="00EE46B5"/>
    <w:rPr>
      <w:rFonts w:asciiTheme="majorHAnsi" w:eastAsiaTheme="majorEastAsia" w:hAnsiTheme="majorHAnsi" w:cstheme="majorBidi"/>
      <w:color w:val="2F5496" w:themeColor="accent1" w:themeShade="BF"/>
      <w:sz w:val="28"/>
      <w:szCs w:val="28"/>
      <w:lang w:val="en-US"/>
    </w:rPr>
  </w:style>
  <w:style w:type="character" w:customStyle="1" w:styleId="KuriosSubjudulChar">
    <w:name w:val="Kurios Subjudul Char"/>
    <w:basedOn w:val="DefaultParagraphFont"/>
    <w:link w:val="KuriosSubjudul"/>
    <w:rsid w:val="00EE46B5"/>
    <w:rPr>
      <w:rFonts w:ascii="Times New Roman" w:eastAsia="Times New Roman" w:hAnsi="Times New Roman" w:cs="Times New Roman"/>
      <w:b/>
      <w:bCs/>
      <w:sz w:val="24"/>
      <w:szCs w:val="24"/>
      <w:lang w:val="en-ID" w:eastAsia="id-ID" w:bidi="he-IL"/>
    </w:rPr>
  </w:style>
  <w:style w:type="character" w:customStyle="1" w:styleId="Heading3Char">
    <w:name w:val="Heading 3 Char"/>
    <w:basedOn w:val="DefaultParagraphFont"/>
    <w:link w:val="Heading3"/>
    <w:uiPriority w:val="9"/>
    <w:semiHidden/>
    <w:rsid w:val="00EE46B5"/>
    <w:rPr>
      <w:rFonts w:asciiTheme="majorHAnsi" w:eastAsiaTheme="majorEastAsia" w:hAnsiTheme="majorHAnsi" w:cstheme="majorBidi"/>
      <w:color w:val="1F3763" w:themeColor="accent1" w:themeShade="7F"/>
      <w:sz w:val="24"/>
      <w:szCs w:val="24"/>
      <w:lang w:val="en-US"/>
    </w:rPr>
  </w:style>
  <w:style w:type="paragraph" w:customStyle="1" w:styleId="Judul">
    <w:name w:val="Judul"/>
    <w:basedOn w:val="SubJudul1"/>
    <w:link w:val="JudulChar"/>
    <w:qFormat/>
    <w:rsid w:val="00EE46B5"/>
    <w:pPr>
      <w:contextualSpacing w:val="0"/>
    </w:pPr>
    <w:rPr>
      <w:spacing w:val="-10"/>
      <w:kern w:val="28"/>
    </w:rPr>
  </w:style>
  <w:style w:type="character" w:customStyle="1" w:styleId="JudulChar">
    <w:name w:val="Judul Char"/>
    <w:basedOn w:val="TitleChar"/>
    <w:link w:val="Judul"/>
    <w:rsid w:val="00EE46B5"/>
    <w:rPr>
      <w:rFonts w:ascii="Cambria" w:eastAsiaTheme="majorEastAsia" w:hAnsi="Cambria" w:cstheme="majorBidi"/>
      <w:b/>
      <w:color w:val="000000" w:themeColor="text1"/>
      <w:spacing w:val="-10"/>
      <w:sz w:val="24"/>
      <w:szCs w:val="24"/>
      <w:lang w:val="en-US"/>
    </w:rPr>
  </w:style>
  <w:style w:type="paragraph" w:customStyle="1" w:styleId="SubJudul">
    <w:name w:val="Sub Judul"/>
    <w:rsid w:val="00EE46B5"/>
    <w:pPr>
      <w:spacing w:before="120" w:after="120" w:line="240" w:lineRule="auto"/>
      <w:jc w:val="center"/>
    </w:pPr>
    <w:rPr>
      <w:rFonts w:ascii="Times New Roman" w:eastAsiaTheme="minorHAnsi" w:hAnsi="Times New Roman" w:cs="Times New Roman"/>
      <w:b/>
      <w:sz w:val="24"/>
      <w:szCs w:val="24"/>
      <w:lang w:val="en-US"/>
    </w:rPr>
  </w:style>
  <w:style w:type="paragraph" w:customStyle="1" w:styleId="PARAGRAFBARU">
    <w:name w:val="PARAGRAF BARU"/>
    <w:rsid w:val="00EE46B5"/>
    <w:pPr>
      <w:tabs>
        <w:tab w:val="left" w:pos="1710"/>
        <w:tab w:val="left" w:pos="1890"/>
      </w:tabs>
      <w:spacing w:after="0" w:line="480" w:lineRule="auto"/>
      <w:ind w:firstLine="720"/>
    </w:pPr>
    <w:rPr>
      <w:rFonts w:ascii="Times New Roman" w:eastAsiaTheme="minorHAnsi" w:hAnsi="Times New Roman" w:cs="Times New Roman"/>
      <w:sz w:val="24"/>
      <w:szCs w:val="24"/>
      <w:lang w:val="en-ID"/>
    </w:rPr>
  </w:style>
  <w:style w:type="paragraph" w:customStyle="1" w:styleId="kutipan">
    <w:name w:val="kutipan"/>
    <w:rsid w:val="00EE46B5"/>
    <w:pPr>
      <w:spacing w:before="120" w:after="240" w:line="240" w:lineRule="auto"/>
      <w:ind w:left="720" w:right="720"/>
    </w:pPr>
    <w:rPr>
      <w:rFonts w:ascii="Times New Roman" w:eastAsiaTheme="minorHAnsi" w:hAnsi="Times New Roman"/>
      <w:szCs w:val="22"/>
      <w:lang w:val="en-US"/>
    </w:rPr>
  </w:style>
  <w:style w:type="paragraph" w:styleId="ListParagraph">
    <w:name w:val="List Paragraph"/>
    <w:basedOn w:val="Normal"/>
    <w:uiPriority w:val="34"/>
    <w:qFormat/>
    <w:rsid w:val="00EE46B5"/>
    <w:pPr>
      <w:spacing w:after="160" w:line="259" w:lineRule="auto"/>
      <w:ind w:left="720"/>
      <w:contextualSpacing/>
    </w:pPr>
    <w:rPr>
      <w:sz w:val="22"/>
      <w:szCs w:val="22"/>
      <w:lang w:val="en-US"/>
    </w:rPr>
  </w:style>
  <w:style w:type="paragraph" w:styleId="Bibliography">
    <w:name w:val="Bibliography"/>
    <w:basedOn w:val="Normal"/>
    <w:next w:val="Normal"/>
    <w:uiPriority w:val="37"/>
    <w:unhideWhenUsed/>
    <w:rsid w:val="00EE46B5"/>
    <w:pPr>
      <w:spacing w:after="160" w:line="240" w:lineRule="auto"/>
      <w:ind w:left="720" w:hanging="720"/>
    </w:pPr>
    <w:rPr>
      <w:sz w:val="22"/>
      <w:szCs w:val="22"/>
      <w:lang w:val="en-US"/>
    </w:rPr>
  </w:style>
  <w:style w:type="paragraph" w:customStyle="1" w:styleId="SubJudul2">
    <w:name w:val="Sub Judul 2"/>
    <w:basedOn w:val="SubJudul1"/>
    <w:link w:val="SubJudul2Char"/>
    <w:qFormat/>
    <w:rsid w:val="00EE46B5"/>
    <w:rPr>
      <w:b w:val="0"/>
      <w:bCs/>
    </w:rPr>
  </w:style>
  <w:style w:type="character" w:customStyle="1" w:styleId="SubJudul2Char">
    <w:name w:val="Sub Judul 2 Char"/>
    <w:basedOn w:val="SubJudul1Char"/>
    <w:link w:val="SubJudul2"/>
    <w:rsid w:val="00EE46B5"/>
    <w:rPr>
      <w:rFonts w:ascii="Cambria" w:eastAsiaTheme="majorEastAsia" w:hAnsi="Cambria" w:cstheme="majorBidi"/>
      <w:b w:val="0"/>
      <w:bCs/>
      <w:color w:val="000000" w:themeColor="text1"/>
      <w:sz w:val="24"/>
      <w:szCs w:val="24"/>
      <w:lang w:val="en-US"/>
    </w:rPr>
  </w:style>
  <w:style w:type="paragraph" w:customStyle="1" w:styleId="SubJudul3">
    <w:name w:val="Sub Judul 3"/>
    <w:basedOn w:val="SubJudul2"/>
    <w:link w:val="SubJudul3Char"/>
    <w:qFormat/>
    <w:rsid w:val="00EE46B5"/>
    <w:pPr>
      <w:jc w:val="left"/>
    </w:pPr>
    <w:rPr>
      <w:b/>
    </w:rPr>
  </w:style>
  <w:style w:type="character" w:customStyle="1" w:styleId="SubJudul3Char">
    <w:name w:val="Sub Judul 3 Char"/>
    <w:basedOn w:val="SubJudul2Char"/>
    <w:link w:val="SubJudul3"/>
    <w:rsid w:val="00EE46B5"/>
    <w:rPr>
      <w:rFonts w:ascii="Cambria" w:eastAsiaTheme="majorEastAsia" w:hAnsi="Cambria" w:cstheme="majorBidi"/>
      <w:b/>
      <w:bCs/>
      <w:color w:val="000000" w:themeColor="text1"/>
      <w:sz w:val="24"/>
      <w:szCs w:val="24"/>
      <w:lang w:val="en-US"/>
    </w:rPr>
  </w:style>
  <w:style w:type="paragraph" w:customStyle="1" w:styleId="SubJudul4">
    <w:name w:val="Sub Judul 4"/>
    <w:basedOn w:val="SubJudul3"/>
    <w:link w:val="SubJudul4Char"/>
    <w:qFormat/>
    <w:rsid w:val="00EE46B5"/>
    <w:rPr>
      <w:b w:val="0"/>
    </w:rPr>
  </w:style>
  <w:style w:type="character" w:customStyle="1" w:styleId="SubJudul4Char">
    <w:name w:val="Sub Judul 4 Char"/>
    <w:basedOn w:val="SubJudul3Char"/>
    <w:link w:val="SubJudul4"/>
    <w:rsid w:val="00EE46B5"/>
    <w:rPr>
      <w:rFonts w:ascii="Cambria" w:eastAsiaTheme="majorEastAsia" w:hAnsi="Cambria" w:cstheme="majorBidi"/>
      <w:b w:val="0"/>
      <w:bCs/>
      <w:color w:val="000000" w:themeColor="text1"/>
      <w:sz w:val="24"/>
      <w:szCs w:val="24"/>
      <w:lang w:val="en-US"/>
    </w:rPr>
  </w:style>
  <w:style w:type="paragraph" w:customStyle="1" w:styleId="DaftarAcuan">
    <w:name w:val="Daftar Acuan"/>
    <w:basedOn w:val="Normal"/>
    <w:link w:val="DaftarAcuanChar"/>
    <w:qFormat/>
    <w:rsid w:val="00EE46B5"/>
    <w:pPr>
      <w:spacing w:after="120" w:line="240" w:lineRule="auto"/>
      <w:ind w:left="720" w:hanging="720"/>
    </w:pPr>
    <w:rPr>
      <w:rFonts w:ascii="Cambria" w:hAnsi="Cambria"/>
      <w:color w:val="000000" w:themeColor="text1"/>
      <w:sz w:val="24"/>
      <w:szCs w:val="24"/>
    </w:rPr>
  </w:style>
  <w:style w:type="character" w:customStyle="1" w:styleId="DaftarAcuanChar">
    <w:name w:val="Daftar Acuan Char"/>
    <w:basedOn w:val="DefaultParagraphFont"/>
    <w:link w:val="DaftarAcuan"/>
    <w:rsid w:val="00EE46B5"/>
    <w:rPr>
      <w:rFonts w:ascii="Cambria" w:hAnsi="Cambria"/>
      <w:color w:val="000000" w:themeColor="text1"/>
      <w:sz w:val="24"/>
      <w:szCs w:val="24"/>
    </w:rPr>
  </w:style>
  <w:style w:type="paragraph" w:styleId="Title">
    <w:name w:val="Title"/>
    <w:basedOn w:val="Normal"/>
    <w:next w:val="Normal"/>
    <w:link w:val="TitleChar"/>
    <w:uiPriority w:val="10"/>
    <w:qFormat/>
    <w:rsid w:val="00EE46B5"/>
    <w:pPr>
      <w:spacing w:after="0" w:line="240" w:lineRule="auto"/>
      <w:contextualSpacing/>
    </w:pPr>
    <w:rPr>
      <w:rFonts w:asciiTheme="majorHAnsi" w:eastAsiaTheme="majorEastAsia" w:hAnsiTheme="majorHAnsi" w:cstheme="majorBidi"/>
      <w:spacing w:val="-10"/>
      <w:sz w:val="56"/>
      <w:szCs w:val="56"/>
      <w:lang w:val="en-US"/>
    </w:rPr>
  </w:style>
  <w:style w:type="character" w:customStyle="1" w:styleId="TitleChar">
    <w:name w:val="Title Char"/>
    <w:basedOn w:val="DefaultParagraphFont"/>
    <w:link w:val="Title"/>
    <w:uiPriority w:val="10"/>
    <w:rsid w:val="00EE46B5"/>
    <w:rPr>
      <w:rFonts w:asciiTheme="majorHAnsi" w:eastAsiaTheme="majorEastAsia" w:hAnsiTheme="majorHAnsi" w:cstheme="majorBidi"/>
      <w:spacing w:val="-10"/>
      <w:sz w:val="56"/>
      <w:szCs w:val="56"/>
      <w:lang w:val="en-US"/>
    </w:rPr>
  </w:style>
  <w:style w:type="character" w:styleId="CommentReference">
    <w:name w:val="annotation reference"/>
    <w:basedOn w:val="DefaultParagraphFont"/>
    <w:uiPriority w:val="99"/>
    <w:semiHidden/>
    <w:unhideWhenUsed/>
    <w:rsid w:val="00EE46B5"/>
    <w:rPr>
      <w:sz w:val="16"/>
      <w:szCs w:val="16"/>
    </w:rPr>
  </w:style>
  <w:style w:type="paragraph" w:styleId="CommentText">
    <w:name w:val="annotation text"/>
    <w:basedOn w:val="Normal"/>
    <w:link w:val="CommentTextChar"/>
    <w:uiPriority w:val="99"/>
    <w:semiHidden/>
    <w:unhideWhenUsed/>
    <w:rsid w:val="00EE46B5"/>
    <w:pPr>
      <w:spacing w:after="160" w:line="240" w:lineRule="auto"/>
    </w:pPr>
    <w:rPr>
      <w:lang w:val="en-US"/>
    </w:rPr>
  </w:style>
  <w:style w:type="character" w:customStyle="1" w:styleId="CommentTextChar">
    <w:name w:val="Comment Text Char"/>
    <w:basedOn w:val="DefaultParagraphFont"/>
    <w:link w:val="CommentText"/>
    <w:uiPriority w:val="99"/>
    <w:semiHidden/>
    <w:rsid w:val="00EE46B5"/>
    <w:rPr>
      <w:lang w:val="en-US"/>
    </w:rPr>
  </w:style>
  <w:style w:type="paragraph" w:styleId="CommentSubject">
    <w:name w:val="annotation subject"/>
    <w:basedOn w:val="CommentText"/>
    <w:next w:val="CommentText"/>
    <w:link w:val="CommentSubjectChar"/>
    <w:uiPriority w:val="99"/>
    <w:semiHidden/>
    <w:unhideWhenUsed/>
    <w:rsid w:val="00EE46B5"/>
    <w:rPr>
      <w:b/>
      <w:bCs/>
    </w:rPr>
  </w:style>
  <w:style w:type="character" w:customStyle="1" w:styleId="CommentSubjectChar">
    <w:name w:val="Comment Subject Char"/>
    <w:basedOn w:val="CommentTextChar"/>
    <w:link w:val="CommentSubject"/>
    <w:uiPriority w:val="99"/>
    <w:semiHidden/>
    <w:rsid w:val="00EE46B5"/>
    <w:rPr>
      <w:b/>
      <w:bCs/>
      <w:lang w:val="en-US"/>
    </w:rPr>
  </w:style>
  <w:style w:type="paragraph" w:styleId="Header">
    <w:name w:val="header"/>
    <w:basedOn w:val="Normal"/>
    <w:link w:val="HeaderChar"/>
    <w:uiPriority w:val="99"/>
    <w:unhideWhenUsed/>
    <w:rsid w:val="00EE46B5"/>
    <w:pPr>
      <w:tabs>
        <w:tab w:val="center" w:pos="4513"/>
        <w:tab w:val="right" w:pos="9026"/>
      </w:tabs>
      <w:spacing w:after="0" w:line="240" w:lineRule="auto"/>
    </w:pPr>
    <w:rPr>
      <w:sz w:val="22"/>
      <w:szCs w:val="22"/>
      <w:lang w:val="en-US"/>
    </w:rPr>
  </w:style>
  <w:style w:type="character" w:customStyle="1" w:styleId="HeaderChar">
    <w:name w:val="Header Char"/>
    <w:basedOn w:val="DefaultParagraphFont"/>
    <w:link w:val="Header"/>
    <w:uiPriority w:val="99"/>
    <w:rsid w:val="00EE46B5"/>
    <w:rPr>
      <w:sz w:val="22"/>
      <w:szCs w:val="22"/>
      <w:lang w:val="en-US"/>
    </w:rPr>
  </w:style>
  <w:style w:type="table" w:styleId="TableGrid">
    <w:name w:val="Table Grid"/>
    <w:basedOn w:val="TableNormal"/>
    <w:uiPriority w:val="39"/>
    <w:rsid w:val="00EE46B5"/>
    <w:pPr>
      <w:spacing w:after="0" w:line="240" w:lineRule="auto"/>
    </w:pPr>
    <w:rPr>
      <w:rFonts w:eastAsiaTheme="minorHAns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perteks">
    <w:name w:val="Paper teks"/>
    <w:qFormat/>
    <w:rsid w:val="00EE46B5"/>
    <w:pPr>
      <w:spacing w:after="0" w:line="480" w:lineRule="auto"/>
      <w:ind w:firstLine="720"/>
    </w:pPr>
    <w:rPr>
      <w:rFonts w:ascii="Times New Roman" w:eastAsiaTheme="minorHAnsi" w:hAnsi="Times New Roman"/>
      <w:sz w:val="24"/>
      <w:szCs w:val="22"/>
      <w:lang w:val="en-US"/>
    </w:rPr>
  </w:style>
  <w:style w:type="paragraph" w:customStyle="1" w:styleId="JudulBaru">
    <w:name w:val="Judul Baru"/>
    <w:rsid w:val="00EE46B5"/>
    <w:pPr>
      <w:spacing w:before="240" w:after="240" w:line="240" w:lineRule="auto"/>
      <w:jc w:val="center"/>
    </w:pPr>
    <w:rPr>
      <w:rFonts w:ascii="Times New Roman" w:eastAsiaTheme="minorHAnsi" w:hAnsi="Times New Roman"/>
      <w:b/>
      <w:sz w:val="24"/>
      <w:szCs w:val="22"/>
      <w:lang w:val="en-US"/>
    </w:rPr>
  </w:style>
  <w:style w:type="paragraph" w:styleId="TOC1">
    <w:name w:val="toc 1"/>
    <w:basedOn w:val="Normal"/>
    <w:next w:val="Normal"/>
    <w:autoRedefine/>
    <w:uiPriority w:val="39"/>
    <w:unhideWhenUsed/>
    <w:rsid w:val="00EE46B5"/>
    <w:pPr>
      <w:tabs>
        <w:tab w:val="right" w:leader="dot" w:pos="8299"/>
      </w:tabs>
      <w:spacing w:after="100" w:line="259" w:lineRule="auto"/>
      <w:ind w:left="142"/>
    </w:pPr>
    <w:rPr>
      <w:sz w:val="22"/>
      <w:szCs w:val="22"/>
      <w:lang w:val="en-US"/>
    </w:rPr>
  </w:style>
  <w:style w:type="paragraph" w:styleId="TOC2">
    <w:name w:val="toc 2"/>
    <w:basedOn w:val="Normal"/>
    <w:next w:val="Normal"/>
    <w:autoRedefine/>
    <w:uiPriority w:val="39"/>
    <w:unhideWhenUsed/>
    <w:rsid w:val="00EE46B5"/>
    <w:pPr>
      <w:spacing w:after="100" w:line="259" w:lineRule="auto"/>
      <w:ind w:left="220"/>
    </w:pPr>
    <w:rPr>
      <w:sz w:val="22"/>
      <w:szCs w:val="22"/>
      <w:lang w:val="en-US"/>
    </w:rPr>
  </w:style>
  <w:style w:type="paragraph" w:styleId="TOC3">
    <w:name w:val="toc 3"/>
    <w:basedOn w:val="Normal"/>
    <w:next w:val="Normal"/>
    <w:autoRedefine/>
    <w:uiPriority w:val="39"/>
    <w:unhideWhenUsed/>
    <w:rsid w:val="00EE46B5"/>
    <w:pPr>
      <w:spacing w:after="100" w:line="259" w:lineRule="auto"/>
      <w:ind w:left="440"/>
    </w:pPr>
    <w:rPr>
      <w:sz w:val="22"/>
      <w:szCs w:val="22"/>
      <w:lang w:val="en-US"/>
    </w:rPr>
  </w:style>
  <w:style w:type="character" w:customStyle="1" w:styleId="tlid-translation">
    <w:name w:val="tlid-translation"/>
    <w:basedOn w:val="DefaultParagraphFont"/>
    <w:rsid w:val="00EE46B5"/>
  </w:style>
  <w:style w:type="paragraph" w:styleId="TOCHeading">
    <w:name w:val="TOC Heading"/>
    <w:basedOn w:val="Heading1"/>
    <w:next w:val="Normal"/>
    <w:uiPriority w:val="39"/>
    <w:unhideWhenUsed/>
    <w:qFormat/>
    <w:rsid w:val="00EE46B5"/>
    <w:pPr>
      <w:spacing w:line="259" w:lineRule="auto"/>
      <w:outlineLvl w:val="9"/>
    </w:pPr>
    <w:rPr>
      <w:lang w:eastAsia="id-ID" w:bidi="he-IL"/>
    </w:rPr>
  </w:style>
  <w:style w:type="character" w:styleId="EndnoteReference">
    <w:name w:val="endnote reference"/>
    <w:basedOn w:val="DefaultParagraphFont"/>
    <w:uiPriority w:val="99"/>
    <w:semiHidden/>
    <w:unhideWhenUsed/>
    <w:rsid w:val="00EE46B5"/>
    <w:rPr>
      <w:vertAlign w:val="superscript"/>
    </w:rPr>
  </w:style>
  <w:style w:type="paragraph" w:customStyle="1" w:styleId="Kurios-CatatanKaki">
    <w:name w:val="Kurios - Catatan Kaki"/>
    <w:basedOn w:val="CatatanKaki"/>
    <w:link w:val="Kurios-CatatanKakiChar"/>
    <w:qFormat/>
    <w:rsid w:val="009D6728"/>
    <w:pPr>
      <w:ind w:firstLine="567"/>
    </w:pPr>
    <w:rPr>
      <w:rFonts w:asciiTheme="majorBidi" w:hAnsiTheme="majorBidi" w:cstheme="majorBidi"/>
    </w:rPr>
  </w:style>
  <w:style w:type="paragraph" w:customStyle="1" w:styleId="Kurios-Quote">
    <w:name w:val="Kurios - Quote"/>
    <w:basedOn w:val="KutipanLangsung"/>
    <w:link w:val="Kurios-QuoteChar"/>
    <w:qFormat/>
    <w:rsid w:val="009D6728"/>
    <w:pPr>
      <w:numPr>
        <w:numId w:val="0"/>
      </w:numPr>
      <w:ind w:left="1080"/>
    </w:pPr>
    <w:rPr>
      <w:rFonts w:asciiTheme="majorBidi" w:hAnsiTheme="majorBidi" w:cstheme="majorBidi"/>
      <w:lang w:val="id-ID"/>
    </w:rPr>
  </w:style>
  <w:style w:type="character" w:customStyle="1" w:styleId="Kurios-CatatanKakiChar">
    <w:name w:val="Kurios - Catatan Kaki Char"/>
    <w:basedOn w:val="CatatanKakiChar"/>
    <w:link w:val="Kurios-CatatanKaki"/>
    <w:rsid w:val="009D6728"/>
    <w:rPr>
      <w:rFonts w:asciiTheme="majorBidi" w:hAnsiTheme="majorBidi" w:cstheme="majorBidi"/>
      <w:lang w:val="en-US"/>
    </w:rPr>
  </w:style>
  <w:style w:type="character" w:customStyle="1" w:styleId="Kurios-QuoteChar">
    <w:name w:val="Kurios - Quote Char"/>
    <w:basedOn w:val="KutipanLangsungChar"/>
    <w:link w:val="Kurios-Quote"/>
    <w:rsid w:val="009D6728"/>
    <w:rPr>
      <w:rFonts w:asciiTheme="majorBidi" w:eastAsia="Times New Roman" w:hAnsiTheme="majorBidi" w:cstheme="majorBidi"/>
      <w:color w:val="000000" w:themeColor="text1"/>
      <w:sz w:val="22"/>
      <w:szCs w:val="24"/>
      <w:lang w:val="en-US"/>
    </w:rPr>
  </w:style>
  <w:style w:type="paragraph" w:styleId="NormalWeb">
    <w:name w:val="Normal (Web)"/>
    <w:basedOn w:val="Normal"/>
    <w:uiPriority w:val="99"/>
    <w:semiHidden/>
    <w:unhideWhenUsed/>
    <w:rsid w:val="00516425"/>
    <w:pPr>
      <w:spacing w:before="100" w:beforeAutospacing="1" w:after="100" w:afterAutospacing="1" w:line="240" w:lineRule="auto"/>
    </w:pPr>
    <w:rPr>
      <w:rFonts w:ascii="Times New Roman" w:eastAsia="Times New Roman" w:hAnsi="Times New Roman" w:cs="Times New Roman"/>
      <w:sz w:val="24"/>
      <w:szCs w:val="24"/>
      <w:lang w:eastAsia="id-ID"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9975">
      <w:bodyDiv w:val="1"/>
      <w:marLeft w:val="0"/>
      <w:marRight w:val="0"/>
      <w:marTop w:val="0"/>
      <w:marBottom w:val="0"/>
      <w:divBdr>
        <w:top w:val="none" w:sz="0" w:space="0" w:color="auto"/>
        <w:left w:val="none" w:sz="0" w:space="0" w:color="auto"/>
        <w:bottom w:val="none" w:sz="0" w:space="0" w:color="auto"/>
        <w:right w:val="none" w:sz="0" w:space="0" w:color="auto"/>
      </w:divBdr>
    </w:div>
    <w:div w:id="31105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butarbutar@stftjakart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pakpahan@stftjakart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2358706-2963-4B0C-AFF2-32E385BD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7118</Words>
  <Characters>40573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Dorta N O Pardede</dc:creator>
  <cp:keywords/>
  <dc:description/>
  <cp:lastModifiedBy>Rut Debora Butarbutar</cp:lastModifiedBy>
  <cp:revision>2</cp:revision>
  <dcterms:created xsi:type="dcterms:W3CDTF">2020-07-18T06:59:00Z</dcterms:created>
  <dcterms:modified xsi:type="dcterms:W3CDTF">2020-07-18T06:59:00Z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http://www.zotero.org/styles/chicago-fullnote-bibliography</vt:lpwstr>
  </property>
  <property fmtid="{D5CDD505-2E9C-101B-9397-08002B2CF9AE}" pid="23" name="Mendeley Document_1">
    <vt:lpwstr>True</vt:lpwstr>
  </property>
  <property fmtid="{D5CDD505-2E9C-101B-9397-08002B2CF9AE}" pid="24" name="Mendeley Unique User Id_1">
    <vt:lpwstr>4f9adfc5-1ab3-31ce-aa83-9fe71009987d</vt:lpwstr>
  </property>
</Properties>
</file>